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C718" w14:textId="77777777" w:rsidR="00F432B9" w:rsidRDefault="00F432B9" w:rsidP="00F432B9">
      <w:pPr>
        <w:rPr>
          <w:szCs w:val="22"/>
        </w:rPr>
      </w:pPr>
    </w:p>
    <w:p w14:paraId="6921A37B" w14:textId="77777777" w:rsidR="00345413" w:rsidRPr="00E86596" w:rsidRDefault="00F616E0" w:rsidP="00345413">
      <w:pPr>
        <w:spacing w:before="2040" w:after="840" w:line="480" w:lineRule="auto"/>
        <w:jc w:val="center"/>
        <w:rPr>
          <w:b/>
          <w:bCs/>
          <w:sz w:val="28"/>
          <w:szCs w:val="28"/>
        </w:rPr>
      </w:pPr>
      <w:r w:rsidRPr="00E86596">
        <w:rPr>
          <w:b/>
          <w:bCs/>
          <w:sz w:val="28"/>
          <w:szCs w:val="28"/>
        </w:rPr>
        <w:t xml:space="preserve">University </w:t>
      </w:r>
      <w:r w:rsidR="0025259D" w:rsidRPr="00E86596">
        <w:rPr>
          <w:b/>
          <w:bCs/>
          <w:sz w:val="28"/>
          <w:szCs w:val="28"/>
        </w:rPr>
        <w:t>o</w:t>
      </w:r>
      <w:r w:rsidR="00780D20" w:rsidRPr="00E86596">
        <w:rPr>
          <w:b/>
          <w:bCs/>
          <w:sz w:val="28"/>
          <w:szCs w:val="28"/>
        </w:rPr>
        <w:t>f</w:t>
      </w:r>
      <w:r w:rsidRPr="00E86596">
        <w:rPr>
          <w:b/>
          <w:bCs/>
          <w:sz w:val="28"/>
          <w:szCs w:val="28"/>
        </w:rPr>
        <w:t xml:space="preserve"> Suffolk</w:t>
      </w:r>
    </w:p>
    <w:p w14:paraId="4A8995A0" w14:textId="77777777" w:rsidR="00F616E0" w:rsidRPr="00C41B6D" w:rsidRDefault="00345413" w:rsidP="00EA23C0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[Insert p</w:t>
      </w:r>
      <w:r w:rsidR="00F432B9" w:rsidRPr="00C41B6D">
        <w:rPr>
          <w:b/>
          <w:bCs/>
          <w:sz w:val="28"/>
          <w:szCs w:val="28"/>
        </w:rPr>
        <w:t>roposed</w:t>
      </w:r>
      <w:r w:rsidR="008B5CE0">
        <w:rPr>
          <w:b/>
          <w:bCs/>
          <w:sz w:val="28"/>
          <w:szCs w:val="28"/>
        </w:rPr>
        <w:t xml:space="preserve"> </w:t>
      </w:r>
      <w:r w:rsidR="00C132AB">
        <w:rPr>
          <w:b/>
          <w:bCs/>
          <w:sz w:val="28"/>
          <w:szCs w:val="28"/>
        </w:rPr>
        <w:t xml:space="preserve">higher / </w:t>
      </w:r>
      <w:r w:rsidR="00EA23C0">
        <w:rPr>
          <w:b/>
          <w:bCs/>
          <w:sz w:val="28"/>
          <w:szCs w:val="28"/>
        </w:rPr>
        <w:t xml:space="preserve">degree apprenticeship </w:t>
      </w:r>
      <w:r w:rsidR="008B5CE0">
        <w:rPr>
          <w:b/>
          <w:bCs/>
          <w:sz w:val="28"/>
          <w:szCs w:val="28"/>
        </w:rPr>
        <w:t>t</w:t>
      </w:r>
      <w:r w:rsidR="00F616E0" w:rsidRPr="00C41B6D">
        <w:rPr>
          <w:b/>
          <w:bCs/>
          <w:sz w:val="28"/>
          <w:szCs w:val="28"/>
        </w:rPr>
        <w:t>itle]</w:t>
      </w:r>
    </w:p>
    <w:p w14:paraId="1B3E0334" w14:textId="77777777" w:rsidR="00380D5D" w:rsidRPr="00921131" w:rsidRDefault="00EA23C0" w:rsidP="00032C38">
      <w:pPr>
        <w:spacing w:before="960"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PROPOSAL</w:t>
      </w:r>
      <w:r w:rsidR="00380D5D" w:rsidRPr="00921131">
        <w:rPr>
          <w:b/>
          <w:bCs/>
          <w:sz w:val="28"/>
          <w:szCs w:val="28"/>
        </w:rPr>
        <w:t xml:space="preserve"> DOCUMENT</w:t>
      </w:r>
      <w:r w:rsidR="001C6EA9">
        <w:rPr>
          <w:b/>
          <w:bCs/>
          <w:sz w:val="28"/>
          <w:szCs w:val="28"/>
        </w:rPr>
        <w:t xml:space="preserve"> (FOR CONVERSION OF AN EXISTING COURSE INTO A </w:t>
      </w:r>
      <w:r w:rsidR="00C132AB" w:rsidRPr="00C132AB">
        <w:rPr>
          <w:b/>
          <w:bCs/>
          <w:sz w:val="28"/>
          <w:szCs w:val="28"/>
          <w:highlight w:val="lightGray"/>
        </w:rPr>
        <w:t xml:space="preserve">[HIGHER / </w:t>
      </w:r>
      <w:r w:rsidR="001C6EA9" w:rsidRPr="00C132AB">
        <w:rPr>
          <w:b/>
          <w:bCs/>
          <w:sz w:val="28"/>
          <w:szCs w:val="28"/>
          <w:highlight w:val="lightGray"/>
        </w:rPr>
        <w:t>DEGREE</w:t>
      </w:r>
      <w:r w:rsidR="00C132AB" w:rsidRPr="00C132AB">
        <w:rPr>
          <w:b/>
          <w:bCs/>
          <w:sz w:val="28"/>
          <w:szCs w:val="28"/>
          <w:highlight w:val="lightGray"/>
        </w:rPr>
        <w:t>]</w:t>
      </w:r>
      <w:r w:rsidR="001C6EA9">
        <w:rPr>
          <w:b/>
          <w:bCs/>
          <w:sz w:val="28"/>
          <w:szCs w:val="28"/>
        </w:rPr>
        <w:t xml:space="preserve"> APPRENTICESHIP)</w:t>
      </w:r>
    </w:p>
    <w:p w14:paraId="350DA0D5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66DFD508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33FC82F3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79388575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0864C9E6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1DA241B7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74BFD60E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7E83C959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20D05BB0" w14:textId="77777777" w:rsidR="00C132AB" w:rsidRDefault="00C132AB" w:rsidP="008B5CE0">
      <w:pPr>
        <w:spacing w:line="480" w:lineRule="auto"/>
        <w:jc w:val="right"/>
        <w:rPr>
          <w:sz w:val="24"/>
        </w:rPr>
      </w:pPr>
    </w:p>
    <w:p w14:paraId="745A2841" w14:textId="77777777" w:rsidR="00F616E0" w:rsidRPr="008B5CE0" w:rsidRDefault="00F616E0" w:rsidP="00C132AB">
      <w:pPr>
        <w:spacing w:line="480" w:lineRule="auto"/>
        <w:jc w:val="right"/>
        <w:rPr>
          <w:sz w:val="24"/>
        </w:rPr>
      </w:pPr>
      <w:r w:rsidRPr="008B5CE0">
        <w:rPr>
          <w:sz w:val="24"/>
        </w:rPr>
        <w:t xml:space="preserve">[Insert </w:t>
      </w:r>
      <w:r w:rsidR="001724BB">
        <w:rPr>
          <w:sz w:val="24"/>
        </w:rPr>
        <w:t>School</w:t>
      </w:r>
      <w:r w:rsidR="00C132AB">
        <w:rPr>
          <w:sz w:val="24"/>
        </w:rPr>
        <w:t xml:space="preserve"> </w:t>
      </w:r>
      <w:r w:rsidRPr="008B5CE0">
        <w:rPr>
          <w:sz w:val="24"/>
        </w:rPr>
        <w:t xml:space="preserve">or </w:t>
      </w:r>
      <w:r w:rsidR="00345413" w:rsidRPr="008B5CE0">
        <w:rPr>
          <w:sz w:val="24"/>
        </w:rPr>
        <w:t>Partner C</w:t>
      </w:r>
      <w:r w:rsidR="008F04DD" w:rsidRPr="008B5CE0">
        <w:rPr>
          <w:sz w:val="24"/>
        </w:rPr>
        <w:t>ollege</w:t>
      </w:r>
      <w:r w:rsidR="00345413" w:rsidRPr="008B5CE0">
        <w:rPr>
          <w:sz w:val="24"/>
        </w:rPr>
        <w:t xml:space="preserve"> n</w:t>
      </w:r>
      <w:r w:rsidRPr="008B5CE0">
        <w:rPr>
          <w:sz w:val="24"/>
        </w:rPr>
        <w:t>ame]</w:t>
      </w:r>
    </w:p>
    <w:p w14:paraId="41C74418" w14:textId="77777777" w:rsidR="00F616E0" w:rsidRPr="008B5CE0" w:rsidRDefault="00345413" w:rsidP="00EA23C0">
      <w:pPr>
        <w:spacing w:line="480" w:lineRule="auto"/>
        <w:jc w:val="right"/>
        <w:rPr>
          <w:sz w:val="24"/>
        </w:rPr>
      </w:pPr>
      <w:r w:rsidRPr="008B5CE0">
        <w:rPr>
          <w:sz w:val="24"/>
        </w:rPr>
        <w:t>[Insert date</w:t>
      </w:r>
      <w:r w:rsidR="00F616E0" w:rsidRPr="008B5CE0">
        <w:rPr>
          <w:sz w:val="24"/>
        </w:rPr>
        <w:t>]</w:t>
      </w:r>
    </w:p>
    <w:p w14:paraId="148C1793" w14:textId="77777777" w:rsidR="00F616E0" w:rsidRDefault="00F616E0" w:rsidP="00F616E0">
      <w:pPr>
        <w:jc w:val="center"/>
        <w:rPr>
          <w:szCs w:val="22"/>
        </w:rPr>
      </w:pPr>
    </w:p>
    <w:p w14:paraId="5D71277C" w14:textId="77777777" w:rsidR="00B34AC5" w:rsidRDefault="00F616E0" w:rsidP="001C6EA9">
      <w:pPr>
        <w:jc w:val="center"/>
        <w:rPr>
          <w:b/>
          <w:bCs/>
          <w:sz w:val="28"/>
          <w:szCs w:val="28"/>
        </w:rPr>
      </w:pPr>
      <w:r>
        <w:rPr>
          <w:szCs w:val="22"/>
        </w:rPr>
        <w:br w:type="page"/>
      </w:r>
      <w:r w:rsidR="00B34AC5" w:rsidRPr="0053174C">
        <w:rPr>
          <w:b/>
          <w:bCs/>
          <w:sz w:val="28"/>
          <w:szCs w:val="28"/>
        </w:rPr>
        <w:lastRenderedPageBreak/>
        <w:t>CONTENTS</w:t>
      </w:r>
    </w:p>
    <w:p w14:paraId="5904AC04" w14:textId="77777777" w:rsidR="0053174C" w:rsidRPr="0053174C" w:rsidRDefault="0053174C" w:rsidP="001C6EA9">
      <w:pPr>
        <w:jc w:val="center"/>
        <w:rPr>
          <w:b/>
          <w:bCs/>
          <w:sz w:val="28"/>
          <w:szCs w:val="28"/>
        </w:rPr>
      </w:pPr>
    </w:p>
    <w:p w14:paraId="23480BD8" w14:textId="77777777" w:rsidR="00CC589E" w:rsidRDefault="00CC589E" w:rsidP="001C6EA9">
      <w:pPr>
        <w:jc w:val="center"/>
        <w:rPr>
          <w:b/>
          <w:bCs/>
          <w:szCs w:val="22"/>
        </w:rPr>
      </w:pPr>
    </w:p>
    <w:p w14:paraId="1DFB10A6" w14:textId="77777777" w:rsidR="00403FDC" w:rsidRPr="00B34AC5" w:rsidRDefault="00403FDC" w:rsidP="00380D5D">
      <w:pPr>
        <w:spacing w:line="360" w:lineRule="auto"/>
        <w:rPr>
          <w:b/>
          <w:bCs/>
          <w:szCs w:val="22"/>
        </w:rPr>
      </w:pPr>
    </w:p>
    <w:p w14:paraId="487F991B" w14:textId="3174ACE6" w:rsidR="00EB05F6" w:rsidRDefault="00F616E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C41B6D">
        <w:rPr>
          <w:szCs w:val="22"/>
        </w:rPr>
        <w:fldChar w:fldCharType="begin"/>
      </w:r>
      <w:r w:rsidRPr="00C41B6D">
        <w:rPr>
          <w:szCs w:val="22"/>
        </w:rPr>
        <w:instrText xml:space="preserve"> TOC \o "1-3" \h \z \u </w:instrText>
      </w:r>
      <w:r w:rsidRPr="00C41B6D">
        <w:rPr>
          <w:szCs w:val="22"/>
        </w:rPr>
        <w:fldChar w:fldCharType="separate"/>
      </w:r>
      <w:hyperlink w:anchor="_Toc66691690" w:history="1">
        <w:r w:rsidR="00EB05F6" w:rsidRPr="00465C3B">
          <w:rPr>
            <w:rStyle w:val="Hyperlink"/>
            <w:noProof/>
          </w:rPr>
          <w:t>1.</w:t>
        </w:r>
        <w:r w:rsidR="00EB05F6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EB05F6" w:rsidRPr="00465C3B">
          <w:rPr>
            <w:rStyle w:val="Hyperlink"/>
            <w:noProof/>
          </w:rPr>
          <w:t>General information</w:t>
        </w:r>
        <w:r w:rsidR="00EB05F6">
          <w:rPr>
            <w:noProof/>
            <w:webHidden/>
          </w:rPr>
          <w:tab/>
        </w:r>
        <w:r w:rsidR="00EB05F6">
          <w:rPr>
            <w:noProof/>
            <w:webHidden/>
          </w:rPr>
          <w:fldChar w:fldCharType="begin"/>
        </w:r>
        <w:r w:rsidR="00EB05F6">
          <w:rPr>
            <w:noProof/>
            <w:webHidden/>
          </w:rPr>
          <w:instrText xml:space="preserve"> PAGEREF _Toc66691690 \h </w:instrText>
        </w:r>
        <w:r w:rsidR="00EB05F6">
          <w:rPr>
            <w:noProof/>
            <w:webHidden/>
          </w:rPr>
        </w:r>
        <w:r w:rsidR="00EB05F6">
          <w:rPr>
            <w:noProof/>
            <w:webHidden/>
          </w:rPr>
          <w:fldChar w:fldCharType="separate"/>
        </w:r>
        <w:r w:rsidR="00EB05F6">
          <w:rPr>
            <w:noProof/>
            <w:webHidden/>
          </w:rPr>
          <w:t>3</w:t>
        </w:r>
        <w:r w:rsidR="00EB05F6">
          <w:rPr>
            <w:noProof/>
            <w:webHidden/>
          </w:rPr>
          <w:fldChar w:fldCharType="end"/>
        </w:r>
      </w:hyperlink>
    </w:p>
    <w:p w14:paraId="62218BE1" w14:textId="3E0DB559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1" w:history="1">
        <w:r w:rsidRPr="00465C3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00263B" w14:textId="414907C8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2" w:history="1">
        <w:r w:rsidRPr="00465C3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 xml:space="preserve">About the </w:t>
        </w:r>
        <w:r w:rsidRPr="00465C3B">
          <w:rPr>
            <w:rStyle w:val="Hyperlink"/>
            <w:noProof/>
            <w:highlight w:val="lightGray"/>
          </w:rPr>
          <w:t>[higher / degree]</w:t>
        </w:r>
        <w:r w:rsidRPr="00465C3B">
          <w:rPr>
            <w:rStyle w:val="Hyperlink"/>
            <w:noProof/>
          </w:rPr>
          <w:t xml:space="preserve"> apprenticeship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C78A0F" w14:textId="6C6A20D9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3" w:history="1">
        <w:r w:rsidRPr="00465C3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>Curriculum 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085F7B" w14:textId="41C1F3B8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4" w:history="1">
        <w:r w:rsidRPr="00465C3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>Recruitment, admission and induction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43B93D" w14:textId="0788D7FE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5" w:history="1">
        <w:r w:rsidRPr="00465C3B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>Apprenticeship delivery and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2644E8" w14:textId="27E9BEB3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6" w:history="1">
        <w:r w:rsidRPr="00465C3B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>Resources and staffing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2E59C3" w14:textId="458F5271" w:rsidR="00EB05F6" w:rsidRDefault="00EB05F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6691697" w:history="1">
        <w:r w:rsidRPr="00465C3B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465C3B">
          <w:rPr>
            <w:rStyle w:val="Hyperlink"/>
            <w:noProof/>
          </w:rPr>
          <w:t>Apprenticeship programme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_Toc66691697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959038" w14:textId="1B3673BF" w:rsidR="001A19C7" w:rsidRPr="001A19C7" w:rsidRDefault="00F616E0" w:rsidP="001A19C7">
      <w:pPr>
        <w:spacing w:line="360" w:lineRule="auto"/>
        <w:jc w:val="center"/>
        <w:rPr>
          <w:szCs w:val="22"/>
        </w:rPr>
      </w:pPr>
      <w:r w:rsidRPr="00C41B6D">
        <w:rPr>
          <w:szCs w:val="22"/>
        </w:rPr>
        <w:fldChar w:fldCharType="end"/>
      </w:r>
    </w:p>
    <w:p w14:paraId="06CA96CE" w14:textId="77777777" w:rsidR="001A19C7" w:rsidRDefault="001A19C7" w:rsidP="008A71CC">
      <w:pPr>
        <w:rPr>
          <w:szCs w:val="20"/>
        </w:rPr>
      </w:pPr>
    </w:p>
    <w:p w14:paraId="250803E0" w14:textId="77777777" w:rsidR="001A19C7" w:rsidRDefault="001A19C7" w:rsidP="008A71CC">
      <w:pPr>
        <w:rPr>
          <w:szCs w:val="20"/>
        </w:rPr>
      </w:pPr>
    </w:p>
    <w:p w14:paraId="3F897434" w14:textId="77777777" w:rsidR="00EE48AD" w:rsidRPr="00050BC0" w:rsidRDefault="00EE48AD" w:rsidP="008B5CE0">
      <w:pPr>
        <w:pStyle w:val="Heading1"/>
        <w:pBdr>
          <w:bottom w:val="single" w:sz="4" w:space="1" w:color="auto"/>
        </w:pBdr>
        <w:ind w:left="357" w:hanging="357"/>
      </w:pPr>
      <w:r w:rsidRPr="00050BC0">
        <w:br w:type="page"/>
      </w:r>
      <w:bookmarkStart w:id="0" w:name="_Toc66691690"/>
      <w:r w:rsidR="006B6CA7" w:rsidRPr="00050BC0">
        <w:lastRenderedPageBreak/>
        <w:t>General</w:t>
      </w:r>
      <w:r w:rsidR="005522F3" w:rsidRPr="00050BC0">
        <w:t xml:space="preserve"> </w:t>
      </w:r>
      <w:r w:rsidR="004868E5">
        <w:t>i</w:t>
      </w:r>
      <w:r w:rsidRPr="00050BC0">
        <w:t>nformation</w:t>
      </w:r>
      <w:bookmarkEnd w:id="0"/>
    </w:p>
    <w:p w14:paraId="173BC1D7" w14:textId="77777777" w:rsidR="00482FAC" w:rsidRDefault="00482FAC" w:rsidP="000917C2">
      <w:pPr>
        <w:spacing w:before="600"/>
        <w:jc w:val="center"/>
        <w:rPr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1"/>
        <w:gridCol w:w="4611"/>
      </w:tblGrid>
      <w:tr w:rsidR="000C2368" w:rsidRPr="0068060D" w14:paraId="40F9066B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A880B80" w14:textId="77777777" w:rsidR="000C2368" w:rsidRDefault="000C2368" w:rsidP="00C132A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Proposed </w:t>
            </w:r>
            <w:r w:rsidR="00C132AB" w:rsidRPr="00C132AB">
              <w:rPr>
                <w:b/>
                <w:bCs/>
                <w:szCs w:val="22"/>
                <w:highlight w:val="lightGray"/>
              </w:rPr>
              <w:t xml:space="preserve">[Higher / </w:t>
            </w:r>
            <w:r w:rsidRPr="00C132AB">
              <w:rPr>
                <w:b/>
                <w:bCs/>
                <w:szCs w:val="22"/>
                <w:highlight w:val="lightGray"/>
              </w:rPr>
              <w:t>Degree</w:t>
            </w:r>
            <w:r w:rsidR="00C132AB" w:rsidRPr="00C132AB">
              <w:rPr>
                <w:b/>
                <w:bCs/>
                <w:szCs w:val="22"/>
                <w:highlight w:val="lightGray"/>
              </w:rPr>
              <w:t>]</w:t>
            </w:r>
            <w:r>
              <w:rPr>
                <w:b/>
                <w:bCs/>
                <w:szCs w:val="22"/>
              </w:rPr>
              <w:t xml:space="preserve"> Apprenticeship course title:</w:t>
            </w:r>
          </w:p>
          <w:p w14:paraId="002E28C3" w14:textId="77777777" w:rsidR="000C2368" w:rsidRPr="0068060D" w:rsidRDefault="000C2368" w:rsidP="001C6EA9">
            <w:pPr>
              <w:rPr>
                <w:b/>
                <w:bCs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5DE6C9A" w14:textId="77777777" w:rsidR="000C2368" w:rsidRPr="0068060D" w:rsidRDefault="000C2368" w:rsidP="004868E5">
            <w:pPr>
              <w:rPr>
                <w:szCs w:val="22"/>
              </w:rPr>
            </w:pPr>
          </w:p>
        </w:tc>
      </w:tr>
      <w:tr w:rsidR="000C2368" w:rsidRPr="0068060D" w14:paraId="197EDADA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C78211B" w14:textId="77777777" w:rsidR="000C2368" w:rsidRDefault="00C132AB" w:rsidP="000C2368">
            <w:pPr>
              <w:rPr>
                <w:b/>
                <w:bCs/>
                <w:szCs w:val="22"/>
              </w:rPr>
            </w:pPr>
            <w:r w:rsidRPr="00C132AB">
              <w:rPr>
                <w:b/>
                <w:bCs/>
                <w:szCs w:val="22"/>
                <w:highlight w:val="lightGray"/>
              </w:rPr>
              <w:t>[Higher / Degree]</w:t>
            </w:r>
            <w:r w:rsidR="000C2368">
              <w:rPr>
                <w:b/>
                <w:bCs/>
                <w:szCs w:val="22"/>
              </w:rPr>
              <w:t xml:space="preserve"> Apprenticeship standard (including weblink):</w:t>
            </w:r>
          </w:p>
          <w:p w14:paraId="179AE187" w14:textId="77777777" w:rsidR="000C2368" w:rsidRPr="0068060D" w:rsidRDefault="000C2368" w:rsidP="001C6EA9">
            <w:pPr>
              <w:rPr>
                <w:b/>
                <w:bCs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BCAADEB" w14:textId="77777777" w:rsidR="000C2368" w:rsidRPr="0068060D" w:rsidRDefault="000C2368" w:rsidP="004868E5">
            <w:pPr>
              <w:rPr>
                <w:szCs w:val="22"/>
              </w:rPr>
            </w:pPr>
          </w:p>
        </w:tc>
      </w:tr>
      <w:tr w:rsidR="000C2368" w:rsidRPr="0068060D" w14:paraId="2420C824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9EA5CD" w14:textId="77777777" w:rsidR="000C2368" w:rsidRDefault="000C2368" w:rsidP="00C132A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Existing course upon which </w:t>
            </w:r>
            <w:r w:rsidR="00C132AB" w:rsidRPr="00C132AB">
              <w:rPr>
                <w:b/>
                <w:bCs/>
                <w:szCs w:val="22"/>
                <w:highlight w:val="lightGray"/>
              </w:rPr>
              <w:t>[</w:t>
            </w:r>
            <w:r w:rsidR="00C132AB">
              <w:rPr>
                <w:b/>
                <w:bCs/>
                <w:szCs w:val="22"/>
                <w:highlight w:val="lightGray"/>
              </w:rPr>
              <w:t>H</w:t>
            </w:r>
            <w:r w:rsidR="00C132AB" w:rsidRPr="00C132AB">
              <w:rPr>
                <w:b/>
                <w:bCs/>
                <w:szCs w:val="22"/>
                <w:highlight w:val="lightGray"/>
              </w:rPr>
              <w:t xml:space="preserve">igher / </w:t>
            </w:r>
            <w:r w:rsidR="00C132AB">
              <w:rPr>
                <w:b/>
                <w:bCs/>
                <w:szCs w:val="22"/>
                <w:highlight w:val="lightGray"/>
              </w:rPr>
              <w:t>D</w:t>
            </w:r>
            <w:r w:rsidR="00C132AB" w:rsidRPr="00C132AB">
              <w:rPr>
                <w:b/>
                <w:bCs/>
                <w:szCs w:val="22"/>
                <w:highlight w:val="lightGray"/>
              </w:rPr>
              <w:t>egree]</w:t>
            </w:r>
            <w:r w:rsidR="00C132AB">
              <w:rPr>
                <w:b/>
                <w:bCs/>
                <w:szCs w:val="22"/>
              </w:rPr>
              <w:t xml:space="preserve"> A</w:t>
            </w:r>
            <w:r>
              <w:rPr>
                <w:b/>
                <w:bCs/>
                <w:szCs w:val="22"/>
              </w:rPr>
              <w:t>pprenticeship is based</w:t>
            </w:r>
            <w:r w:rsidRPr="0068060D">
              <w:rPr>
                <w:b/>
                <w:bCs/>
                <w:szCs w:val="22"/>
              </w:rPr>
              <w:t>:</w:t>
            </w:r>
          </w:p>
          <w:p w14:paraId="0B4B83B1" w14:textId="77777777" w:rsidR="000C2368" w:rsidRPr="0068060D" w:rsidRDefault="000C2368" w:rsidP="001C6EA9">
            <w:pPr>
              <w:rPr>
                <w:b/>
                <w:bCs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07C516" w14:textId="77777777" w:rsidR="000C2368" w:rsidRPr="0068060D" w:rsidRDefault="000C2368" w:rsidP="004868E5">
            <w:pPr>
              <w:rPr>
                <w:szCs w:val="22"/>
              </w:rPr>
            </w:pPr>
          </w:p>
        </w:tc>
      </w:tr>
      <w:tr w:rsidR="000C2368" w:rsidRPr="0068060D" w14:paraId="1D9F6862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8AADD54" w14:textId="77777777" w:rsidR="000C2368" w:rsidRDefault="001724BB" w:rsidP="001724B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School</w:t>
            </w:r>
            <w:r w:rsidR="00CC589E">
              <w:rPr>
                <w:b/>
                <w:bCs/>
                <w:szCs w:val="22"/>
              </w:rPr>
              <w:t xml:space="preserve"> / Partner C</w:t>
            </w:r>
            <w:r w:rsidR="000C2368">
              <w:rPr>
                <w:b/>
                <w:bCs/>
                <w:szCs w:val="22"/>
              </w:rPr>
              <w:t>ollege: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F9A798" w14:textId="77777777" w:rsidR="000C2368" w:rsidRPr="0068060D" w:rsidRDefault="000C2368" w:rsidP="004868E5">
            <w:pPr>
              <w:rPr>
                <w:szCs w:val="22"/>
              </w:rPr>
            </w:pPr>
          </w:p>
        </w:tc>
      </w:tr>
      <w:tr w:rsidR="00482FAC" w:rsidRPr="0068060D" w14:paraId="0F07466F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743C51" w14:textId="77777777" w:rsidR="00482FAC" w:rsidRPr="0068060D" w:rsidRDefault="00C132AB" w:rsidP="001C6EA9">
            <w:pPr>
              <w:rPr>
                <w:b/>
                <w:bCs/>
                <w:szCs w:val="22"/>
              </w:rPr>
            </w:pPr>
            <w:r w:rsidRPr="00C132AB">
              <w:rPr>
                <w:b/>
                <w:bCs/>
                <w:szCs w:val="22"/>
                <w:highlight w:val="lightGray"/>
              </w:rPr>
              <w:t>[Higher / Degree]</w:t>
            </w:r>
            <w:r w:rsidR="00CC589E">
              <w:rPr>
                <w:b/>
                <w:bCs/>
                <w:szCs w:val="22"/>
              </w:rPr>
              <w:t xml:space="preserve"> Apprenticeship </w:t>
            </w:r>
            <w:r w:rsidR="00482FAC" w:rsidRPr="0068060D">
              <w:rPr>
                <w:b/>
                <w:bCs/>
                <w:szCs w:val="22"/>
              </w:rPr>
              <w:t>Course Leader: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13A9232" w14:textId="77777777" w:rsidR="00482FAC" w:rsidRPr="0068060D" w:rsidRDefault="00482FAC" w:rsidP="004868E5">
            <w:pPr>
              <w:rPr>
                <w:szCs w:val="22"/>
              </w:rPr>
            </w:pPr>
          </w:p>
        </w:tc>
      </w:tr>
      <w:tr w:rsidR="00482FAC" w:rsidRPr="0068060D" w14:paraId="7B02A300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525C1A1" w14:textId="77777777" w:rsidR="00482FAC" w:rsidRPr="0068060D" w:rsidRDefault="004868E5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Validating b</w:t>
            </w:r>
            <w:r w:rsidR="00482FAC" w:rsidRPr="0068060D">
              <w:rPr>
                <w:b/>
                <w:bCs/>
                <w:szCs w:val="22"/>
              </w:rPr>
              <w:t>od</w:t>
            </w:r>
            <w:r w:rsidR="00780D20">
              <w:rPr>
                <w:b/>
                <w:bCs/>
                <w:szCs w:val="22"/>
              </w:rPr>
              <w:t>y</w:t>
            </w:r>
            <w:r w:rsidR="00482FAC" w:rsidRPr="0068060D">
              <w:rPr>
                <w:b/>
                <w:bCs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8204E5" w14:textId="77777777" w:rsidR="000917C2" w:rsidRPr="0068060D" w:rsidRDefault="000917C2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 xml:space="preserve">University of </w:t>
            </w:r>
            <w:r w:rsidR="00780D20">
              <w:rPr>
                <w:szCs w:val="22"/>
              </w:rPr>
              <w:t>Suffolk</w:t>
            </w:r>
          </w:p>
        </w:tc>
      </w:tr>
      <w:tr w:rsidR="008021CC" w:rsidRPr="0068060D" w14:paraId="6BE0115F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F3420BA" w14:textId="77777777" w:rsidR="008021CC" w:rsidRPr="0068060D" w:rsidRDefault="004868E5" w:rsidP="000C23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Professional b</w:t>
            </w:r>
            <w:r w:rsidR="008021CC" w:rsidRPr="0068060D">
              <w:rPr>
                <w:b/>
                <w:bCs/>
                <w:szCs w:val="22"/>
              </w:rPr>
              <w:t>od</w:t>
            </w:r>
            <w:r w:rsidR="000C2368">
              <w:rPr>
                <w:b/>
                <w:bCs/>
                <w:szCs w:val="22"/>
              </w:rPr>
              <w:t>y accreditation</w:t>
            </w:r>
            <w:r w:rsidR="008021CC" w:rsidRPr="0068060D">
              <w:rPr>
                <w:b/>
                <w:bCs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DD83E6F" w14:textId="77777777" w:rsidR="008021CC" w:rsidRPr="0068060D" w:rsidRDefault="008021CC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>[Where applicable insert name of relevant professional</w:t>
            </w:r>
            <w:r w:rsidR="004868E5">
              <w:rPr>
                <w:szCs w:val="22"/>
              </w:rPr>
              <w:t>, statutory or regulatory</w:t>
            </w:r>
            <w:r w:rsidRPr="0068060D">
              <w:rPr>
                <w:szCs w:val="22"/>
              </w:rPr>
              <w:t xml:space="preserve"> body </w:t>
            </w:r>
            <w:r w:rsidR="004868E5">
              <w:rPr>
                <w:szCs w:val="22"/>
              </w:rPr>
              <w:t xml:space="preserve">(PSRB) </w:t>
            </w:r>
            <w:r w:rsidRPr="0068060D">
              <w:rPr>
                <w:szCs w:val="22"/>
              </w:rPr>
              <w:t>accreditation]</w:t>
            </w:r>
          </w:p>
        </w:tc>
      </w:tr>
      <w:tr w:rsidR="00482FAC" w:rsidRPr="0068060D" w14:paraId="2DEF633C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E075CD4" w14:textId="77777777" w:rsidR="00482FAC" w:rsidRPr="0068060D" w:rsidRDefault="004868E5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Mode</w:t>
            </w:r>
            <w:r w:rsidR="000C2368">
              <w:rPr>
                <w:b/>
                <w:bCs/>
                <w:szCs w:val="22"/>
              </w:rPr>
              <w:t>(</w:t>
            </w:r>
            <w:r>
              <w:rPr>
                <w:b/>
                <w:bCs/>
                <w:szCs w:val="22"/>
              </w:rPr>
              <w:t>s</w:t>
            </w:r>
            <w:r w:rsidR="000C2368">
              <w:rPr>
                <w:b/>
                <w:bCs/>
                <w:szCs w:val="22"/>
              </w:rPr>
              <w:t>)</w:t>
            </w:r>
            <w:r>
              <w:rPr>
                <w:b/>
                <w:bCs/>
                <w:szCs w:val="22"/>
              </w:rPr>
              <w:t xml:space="preserve"> of a</w:t>
            </w:r>
            <w:r w:rsidR="00482FAC" w:rsidRPr="0068060D">
              <w:rPr>
                <w:b/>
                <w:bCs/>
                <w:szCs w:val="22"/>
              </w:rPr>
              <w:t>ttendance: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B80F979" w14:textId="77777777" w:rsidR="00482FAC" w:rsidRPr="0068060D" w:rsidRDefault="000917C2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>[Insert all possible modes of attendances]</w:t>
            </w:r>
          </w:p>
        </w:tc>
      </w:tr>
      <w:tr w:rsidR="00482FAC" w:rsidRPr="0068060D" w14:paraId="7F291AE1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3BECB30" w14:textId="77777777" w:rsidR="00482FAC" w:rsidRPr="0068060D" w:rsidRDefault="00482FAC" w:rsidP="004868E5">
            <w:pPr>
              <w:rPr>
                <w:b/>
                <w:bCs/>
                <w:szCs w:val="22"/>
              </w:rPr>
            </w:pPr>
            <w:r w:rsidRPr="0068060D">
              <w:rPr>
                <w:b/>
                <w:bCs/>
                <w:szCs w:val="22"/>
              </w:rPr>
              <w:t>Duration: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85DAD6" w14:textId="77777777" w:rsidR="00482FAC" w:rsidRPr="0068060D" w:rsidRDefault="000917C2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>[Insert duration for each mode of attendance]</w:t>
            </w:r>
          </w:p>
        </w:tc>
      </w:tr>
      <w:tr w:rsidR="00443F27" w:rsidRPr="0068060D" w14:paraId="5830AFF3" w14:textId="77777777" w:rsidTr="000C2368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6F93374" w14:textId="77777777" w:rsidR="00443F27" w:rsidRPr="0068060D" w:rsidRDefault="004868E5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Proposed start d</w:t>
            </w:r>
            <w:r w:rsidR="00443F27">
              <w:rPr>
                <w:b/>
                <w:bCs/>
                <w:szCs w:val="22"/>
              </w:rPr>
              <w:t>ate: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137E3F4" w14:textId="77777777" w:rsidR="00443F27" w:rsidRPr="0068060D" w:rsidRDefault="00443F27" w:rsidP="004868E5">
            <w:pPr>
              <w:rPr>
                <w:szCs w:val="22"/>
              </w:rPr>
            </w:pPr>
          </w:p>
        </w:tc>
      </w:tr>
    </w:tbl>
    <w:p w14:paraId="5EDAF2D7" w14:textId="77777777" w:rsidR="003636EE" w:rsidRDefault="00FF2CAE" w:rsidP="008B5CE0">
      <w:pPr>
        <w:pStyle w:val="Heading1"/>
        <w:pBdr>
          <w:bottom w:val="single" w:sz="4" w:space="1" w:color="auto"/>
        </w:pBdr>
        <w:ind w:left="357" w:hanging="357"/>
      </w:pPr>
      <w:r w:rsidRPr="009B3428">
        <w:br w:type="page"/>
      </w:r>
      <w:bookmarkStart w:id="1" w:name="_Toc66691691"/>
      <w:r w:rsidR="003636EE">
        <w:lastRenderedPageBreak/>
        <w:t>Introduction</w:t>
      </w:r>
      <w:bookmarkEnd w:id="1"/>
    </w:p>
    <w:p w14:paraId="10A30730" w14:textId="77777777" w:rsidR="004868E5" w:rsidRDefault="004868E5" w:rsidP="00071676">
      <w:pPr>
        <w:rPr>
          <w:color w:val="FF0000"/>
        </w:rPr>
      </w:pPr>
    </w:p>
    <w:p w14:paraId="59577130" w14:textId="446841EA" w:rsidR="006554F2" w:rsidRDefault="003636EE" w:rsidP="006554F2">
      <w:pPr>
        <w:spacing w:line="276" w:lineRule="auto"/>
      </w:pPr>
      <w:r>
        <w:t>This document</w:t>
      </w:r>
      <w:r w:rsidR="005A1A87">
        <w:t xml:space="preserve"> explores </w:t>
      </w:r>
      <w:r>
        <w:t>the rational</w:t>
      </w:r>
      <w:r w:rsidR="000508FD">
        <w:t>e</w:t>
      </w:r>
      <w:r>
        <w:t xml:space="preserve"> and plans for</w:t>
      </w:r>
      <w:r w:rsidR="005A1A87">
        <w:t xml:space="preserve"> the </w:t>
      </w:r>
      <w:r w:rsidR="00071676">
        <w:t xml:space="preserve">design, </w:t>
      </w:r>
      <w:r>
        <w:t>delivery, support and resourcing</w:t>
      </w:r>
      <w:r w:rsidR="00EA23C0" w:rsidRPr="00EA23C0">
        <w:t xml:space="preserve"> </w:t>
      </w:r>
      <w:r w:rsidR="00EA23C0">
        <w:t xml:space="preserve">of the proposed </w:t>
      </w:r>
      <w:r w:rsidR="006554F2" w:rsidRPr="006554F2">
        <w:rPr>
          <w:highlight w:val="lightGray"/>
        </w:rPr>
        <w:t>[title]</w:t>
      </w:r>
      <w:r w:rsidR="006554F2">
        <w:t xml:space="preserve"> </w:t>
      </w:r>
      <w:r w:rsidR="00C132AB" w:rsidRPr="00C132AB">
        <w:rPr>
          <w:highlight w:val="lightGray"/>
        </w:rPr>
        <w:t xml:space="preserve">[higher / </w:t>
      </w:r>
      <w:r w:rsidR="00EA23C0" w:rsidRPr="00C132AB">
        <w:rPr>
          <w:highlight w:val="lightGray"/>
        </w:rPr>
        <w:t>degree</w:t>
      </w:r>
      <w:r w:rsidR="00C132AB" w:rsidRPr="00C132AB">
        <w:rPr>
          <w:highlight w:val="lightGray"/>
        </w:rPr>
        <w:t>]</w:t>
      </w:r>
      <w:r w:rsidR="00EA23C0">
        <w:t xml:space="preserve"> apprenticeship</w:t>
      </w:r>
      <w:r w:rsidR="006554F2">
        <w:t xml:space="preserve">, which is an adapted version of the existing validated </w:t>
      </w:r>
      <w:r w:rsidR="006554F2" w:rsidRPr="006554F2">
        <w:rPr>
          <w:highlight w:val="lightGray"/>
        </w:rPr>
        <w:t>[title]</w:t>
      </w:r>
      <w:r w:rsidR="006554F2">
        <w:t xml:space="preserve"> course</w:t>
      </w:r>
      <w:r>
        <w:t xml:space="preserve">. </w:t>
      </w:r>
      <w:r w:rsidR="00372481">
        <w:t xml:space="preserve">It has been informed by the requirements for the design and delivery of apprenticeship programmes outlined in the University’s </w:t>
      </w:r>
      <w:hyperlink r:id="rId10" w:history="1">
        <w:r w:rsidR="00372481" w:rsidRPr="00372481">
          <w:rPr>
            <w:rStyle w:val="Hyperlink"/>
          </w:rPr>
          <w:t>Higher and Degree Apprenticeship Framework</w:t>
        </w:r>
      </w:hyperlink>
      <w:r w:rsidR="00372481">
        <w:t>.</w:t>
      </w:r>
    </w:p>
    <w:p w14:paraId="0A9E137C" w14:textId="77777777" w:rsidR="006554F2" w:rsidRDefault="006554F2" w:rsidP="006554F2">
      <w:pPr>
        <w:spacing w:line="276" w:lineRule="auto"/>
      </w:pPr>
    </w:p>
    <w:p w14:paraId="6D5E35BD" w14:textId="77777777" w:rsidR="003636EE" w:rsidRDefault="003636EE" w:rsidP="006554F2">
      <w:pPr>
        <w:spacing w:after="120" w:line="276" w:lineRule="auto"/>
      </w:pPr>
      <w:r>
        <w:t>This document should be read alongside the following document</w:t>
      </w:r>
      <w:r w:rsidR="00780D20">
        <w:t>ation</w:t>
      </w:r>
      <w:r>
        <w:t>:</w:t>
      </w:r>
    </w:p>
    <w:p w14:paraId="52408E9E" w14:textId="18C7A4E3" w:rsidR="00780D20" w:rsidRPr="004868E5" w:rsidRDefault="001F17C6" w:rsidP="00AB00B9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color w:val="000000" w:themeColor="text1"/>
        </w:rPr>
      </w:pPr>
      <w:r w:rsidRPr="004868E5">
        <w:rPr>
          <w:color w:val="000000" w:themeColor="text1"/>
        </w:rPr>
        <w:t>C</w:t>
      </w:r>
      <w:r w:rsidR="003636EE" w:rsidRPr="004868E5">
        <w:rPr>
          <w:color w:val="000000" w:themeColor="text1"/>
        </w:rPr>
        <w:t>ourse handbook: provides</w:t>
      </w:r>
      <w:r w:rsidR="00874740" w:rsidRPr="004868E5">
        <w:rPr>
          <w:color w:val="000000" w:themeColor="text1"/>
        </w:rPr>
        <w:t xml:space="preserve"> course aims and learning outcomes</w:t>
      </w:r>
      <w:r w:rsidR="004868E5">
        <w:rPr>
          <w:color w:val="000000" w:themeColor="text1"/>
        </w:rPr>
        <w:t xml:space="preserve">; </w:t>
      </w:r>
      <w:r w:rsidR="003636EE" w:rsidRPr="004868E5">
        <w:rPr>
          <w:color w:val="000000" w:themeColor="text1"/>
        </w:rPr>
        <w:t xml:space="preserve">detailed descriptions of the proposed </w:t>
      </w:r>
      <w:r w:rsidR="00F17716">
        <w:rPr>
          <w:color w:val="000000" w:themeColor="text1"/>
        </w:rPr>
        <w:t xml:space="preserve">apprenticeship </w:t>
      </w:r>
      <w:r w:rsidR="003636EE" w:rsidRPr="004868E5">
        <w:rPr>
          <w:color w:val="000000" w:themeColor="text1"/>
        </w:rPr>
        <w:t>structure</w:t>
      </w:r>
      <w:r w:rsidR="00F17716">
        <w:rPr>
          <w:color w:val="000000" w:themeColor="text1"/>
        </w:rPr>
        <w:t xml:space="preserve"> and</w:t>
      </w:r>
      <w:r w:rsidR="003636EE" w:rsidRPr="004868E5">
        <w:rPr>
          <w:color w:val="000000" w:themeColor="text1"/>
        </w:rPr>
        <w:t xml:space="preserve"> curriculum</w:t>
      </w:r>
      <w:r w:rsidR="00780D20" w:rsidRPr="004868E5">
        <w:rPr>
          <w:color w:val="000000" w:themeColor="text1"/>
        </w:rPr>
        <w:t xml:space="preserve"> (including module spec</w:t>
      </w:r>
      <w:r w:rsidR="00071676" w:rsidRPr="004868E5">
        <w:rPr>
          <w:color w:val="000000" w:themeColor="text1"/>
        </w:rPr>
        <w:t>ifications)</w:t>
      </w:r>
      <w:r w:rsidR="004868E5">
        <w:rPr>
          <w:color w:val="000000" w:themeColor="text1"/>
        </w:rPr>
        <w:t>;</w:t>
      </w:r>
      <w:r w:rsidR="003636EE" w:rsidRPr="004868E5">
        <w:rPr>
          <w:color w:val="000000" w:themeColor="text1"/>
        </w:rPr>
        <w:t xml:space="preserve"> </w:t>
      </w:r>
      <w:r w:rsidR="004868E5">
        <w:rPr>
          <w:color w:val="000000" w:themeColor="text1"/>
        </w:rPr>
        <w:t xml:space="preserve">learning, </w:t>
      </w:r>
      <w:r w:rsidR="003636EE" w:rsidRPr="004868E5">
        <w:rPr>
          <w:color w:val="000000" w:themeColor="text1"/>
        </w:rPr>
        <w:t>teaching and assessment strategies</w:t>
      </w:r>
      <w:r w:rsidR="00F17716">
        <w:rPr>
          <w:color w:val="000000" w:themeColor="text1"/>
        </w:rPr>
        <w:t xml:space="preserve">, including </w:t>
      </w:r>
      <w:r w:rsidR="00F17716">
        <w:rPr>
          <w:color w:val="000000" w:themeColor="text1"/>
        </w:rPr>
        <w:t>off-the-job learning</w:t>
      </w:r>
      <w:r w:rsidR="004868E5">
        <w:rPr>
          <w:color w:val="000000" w:themeColor="text1"/>
        </w:rPr>
        <w:t>;</w:t>
      </w:r>
      <w:r w:rsidR="003636EE" w:rsidRPr="004868E5">
        <w:rPr>
          <w:color w:val="000000" w:themeColor="text1"/>
        </w:rPr>
        <w:t xml:space="preserve"> </w:t>
      </w:r>
      <w:r w:rsidR="00F17716">
        <w:rPr>
          <w:color w:val="000000" w:themeColor="text1"/>
        </w:rPr>
        <w:t>a</w:t>
      </w:r>
      <w:r w:rsidR="00AB00B9">
        <w:rPr>
          <w:color w:val="000000" w:themeColor="text1"/>
        </w:rPr>
        <w:t xml:space="preserve">rrangements for </w:t>
      </w:r>
      <w:r w:rsidR="00F17716">
        <w:rPr>
          <w:color w:val="000000" w:themeColor="text1"/>
        </w:rPr>
        <w:t xml:space="preserve">initial needs assessment, tripartite reviews and </w:t>
      </w:r>
      <w:r w:rsidR="00AB00B9">
        <w:rPr>
          <w:color w:val="000000" w:themeColor="text1"/>
        </w:rPr>
        <w:t>end point assessment</w:t>
      </w:r>
      <w:r w:rsidR="004868E5">
        <w:rPr>
          <w:color w:val="000000" w:themeColor="text1"/>
        </w:rPr>
        <w:t>;</w:t>
      </w:r>
      <w:r w:rsidR="00874740" w:rsidRPr="004868E5">
        <w:rPr>
          <w:color w:val="000000" w:themeColor="text1"/>
        </w:rPr>
        <w:t xml:space="preserve"> </w:t>
      </w:r>
      <w:r w:rsidR="003636EE" w:rsidRPr="004868E5">
        <w:rPr>
          <w:color w:val="000000" w:themeColor="text1"/>
        </w:rPr>
        <w:t>and course specific resourcing</w:t>
      </w:r>
      <w:r w:rsidR="00537859" w:rsidRPr="004868E5">
        <w:rPr>
          <w:color w:val="000000" w:themeColor="text1"/>
        </w:rPr>
        <w:t>.</w:t>
      </w:r>
      <w:r w:rsidR="00780D20" w:rsidRPr="004868E5">
        <w:rPr>
          <w:color w:val="000000" w:themeColor="text1"/>
        </w:rPr>
        <w:t xml:space="preserve"> This handbook is provided in print alongside this </w:t>
      </w:r>
      <w:r w:rsidR="00AB00B9">
        <w:rPr>
          <w:color w:val="000000" w:themeColor="text1"/>
        </w:rPr>
        <w:t xml:space="preserve">proposal </w:t>
      </w:r>
      <w:r w:rsidR="00780D20" w:rsidRPr="004868E5">
        <w:rPr>
          <w:color w:val="000000" w:themeColor="text1"/>
        </w:rPr>
        <w:t>document.</w:t>
      </w:r>
    </w:p>
    <w:p w14:paraId="11AC2016" w14:textId="77777777" w:rsidR="00AB00B9" w:rsidRPr="004868E5" w:rsidRDefault="00AB00B9" w:rsidP="00C132AB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color w:val="000000" w:themeColor="text1"/>
        </w:rPr>
      </w:pPr>
      <w:r w:rsidRPr="00AB00B9">
        <w:rPr>
          <w:color w:val="000000" w:themeColor="text1"/>
        </w:rPr>
        <w:t xml:space="preserve">Employer </w:t>
      </w:r>
      <w:r>
        <w:t xml:space="preserve">handbook: provides a summary of the design, delivery and management of the </w:t>
      </w:r>
      <w:r w:rsidR="00C132AB" w:rsidRPr="00C132AB">
        <w:rPr>
          <w:highlight w:val="lightGray"/>
        </w:rPr>
        <w:t>[higher / degree]</w:t>
      </w:r>
      <w:r>
        <w:t xml:space="preserve"> apprenticeship from an employer’s perspective. </w:t>
      </w:r>
      <w:r w:rsidRPr="004868E5">
        <w:rPr>
          <w:color w:val="000000" w:themeColor="text1"/>
        </w:rPr>
        <w:t xml:space="preserve">This handbook is provided in print alongside this </w:t>
      </w:r>
      <w:r>
        <w:rPr>
          <w:color w:val="000000" w:themeColor="text1"/>
        </w:rPr>
        <w:t xml:space="preserve">proposal </w:t>
      </w:r>
      <w:r w:rsidRPr="004868E5">
        <w:rPr>
          <w:color w:val="000000" w:themeColor="text1"/>
        </w:rPr>
        <w:t>document.</w:t>
      </w:r>
    </w:p>
    <w:p w14:paraId="1357B9EC" w14:textId="77777777" w:rsidR="003636EE" w:rsidRPr="004868E5" w:rsidRDefault="00780D20" w:rsidP="00AB00B9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color w:val="000000" w:themeColor="text1"/>
        </w:rPr>
      </w:pPr>
      <w:r w:rsidRPr="004868E5">
        <w:rPr>
          <w:color w:val="000000" w:themeColor="text1"/>
        </w:rPr>
        <w:t>University of Suffolk</w:t>
      </w:r>
      <w:r w:rsidR="004868E5">
        <w:rPr>
          <w:color w:val="000000" w:themeColor="text1"/>
        </w:rPr>
        <w:t xml:space="preserve"> student h</w:t>
      </w:r>
      <w:r w:rsidR="003636EE" w:rsidRPr="004868E5">
        <w:rPr>
          <w:color w:val="000000" w:themeColor="text1"/>
        </w:rPr>
        <w:t xml:space="preserve">andbook: generic handbook for all students providing guidance on the various </w:t>
      </w:r>
      <w:r w:rsidR="001F17C6" w:rsidRPr="004868E5">
        <w:rPr>
          <w:color w:val="000000" w:themeColor="text1"/>
        </w:rPr>
        <w:t xml:space="preserve">course </w:t>
      </w:r>
      <w:r w:rsidR="003636EE" w:rsidRPr="004868E5">
        <w:rPr>
          <w:color w:val="000000" w:themeColor="text1"/>
        </w:rPr>
        <w:t>administrative</w:t>
      </w:r>
      <w:r w:rsidR="001F17C6" w:rsidRPr="004868E5">
        <w:rPr>
          <w:color w:val="000000" w:themeColor="text1"/>
        </w:rPr>
        <w:t xml:space="preserve"> and assessment processes, support services students can access, and </w:t>
      </w:r>
      <w:r w:rsidR="003636EE" w:rsidRPr="004868E5">
        <w:rPr>
          <w:color w:val="000000" w:themeColor="text1"/>
        </w:rPr>
        <w:t>information on the local resources that will be available to students.</w:t>
      </w:r>
      <w:r w:rsidR="001F17C6" w:rsidRPr="004868E5">
        <w:rPr>
          <w:color w:val="000000" w:themeColor="text1"/>
        </w:rPr>
        <w:t xml:space="preserve"> </w:t>
      </w:r>
      <w:r w:rsidRPr="004868E5">
        <w:rPr>
          <w:color w:val="000000" w:themeColor="text1"/>
        </w:rPr>
        <w:t>This is available to students and th</w:t>
      </w:r>
      <w:r w:rsidR="008B5CE0">
        <w:rPr>
          <w:color w:val="000000" w:themeColor="text1"/>
        </w:rPr>
        <w:t>e</w:t>
      </w:r>
      <w:r w:rsidRPr="004868E5">
        <w:rPr>
          <w:color w:val="000000" w:themeColor="text1"/>
        </w:rPr>
        <w:t xml:space="preserve"> validation panel </w:t>
      </w:r>
      <w:r w:rsidR="008B5CE0">
        <w:rPr>
          <w:color w:val="000000" w:themeColor="text1"/>
        </w:rPr>
        <w:t xml:space="preserve">on the </w:t>
      </w:r>
      <w:r w:rsidRPr="004868E5">
        <w:rPr>
          <w:color w:val="000000" w:themeColor="text1"/>
        </w:rPr>
        <w:t>University of Suffolk website</w:t>
      </w:r>
      <w:r w:rsidR="00AB00B9">
        <w:rPr>
          <w:color w:val="000000" w:themeColor="text1"/>
        </w:rPr>
        <w:t xml:space="preserve"> at</w:t>
      </w:r>
      <w:r w:rsidR="008B5CE0">
        <w:rPr>
          <w:color w:val="000000" w:themeColor="text1"/>
        </w:rPr>
        <w:t xml:space="preserve"> </w:t>
      </w:r>
      <w:hyperlink r:id="rId11" w:history="1">
        <w:r w:rsidR="00AB00B9" w:rsidRPr="00AB00B9">
          <w:rPr>
            <w:rStyle w:val="Hyperlink"/>
            <w:rFonts w:asciiTheme="minorBidi" w:eastAsia="Times New Roman" w:hAnsiTheme="minorBidi" w:cstheme="minorBidi"/>
            <w:szCs w:val="22"/>
          </w:rPr>
          <w:t>http://studenthandbook.uos.ac.uk/</w:t>
        </w:r>
      </w:hyperlink>
      <w:r w:rsidR="008B5CE0">
        <w:rPr>
          <w:color w:val="000000" w:themeColor="text1"/>
        </w:rPr>
        <w:t xml:space="preserve">. </w:t>
      </w:r>
    </w:p>
    <w:p w14:paraId="2784429E" w14:textId="77777777" w:rsidR="001F17C6" w:rsidRDefault="001F17C6" w:rsidP="00AB00B9">
      <w:pPr>
        <w:pStyle w:val="ListParagraph"/>
        <w:spacing w:line="276" w:lineRule="auto"/>
        <w:ind w:left="360"/>
      </w:pPr>
    </w:p>
    <w:p w14:paraId="17FC5D80" w14:textId="77777777" w:rsidR="005A1A87" w:rsidRDefault="000C2368" w:rsidP="00AB00B9">
      <w:pPr>
        <w:spacing w:line="276" w:lineRule="auto"/>
      </w:pPr>
      <w:r>
        <w:t>F</w:t>
      </w:r>
      <w:r w:rsidR="005A1A87">
        <w:t xml:space="preserve">urther supporting documentation </w:t>
      </w:r>
      <w:r w:rsidR="00AB00B9">
        <w:t xml:space="preserve">may also be </w:t>
      </w:r>
      <w:r w:rsidR="004868E5">
        <w:t>provided and can be accessed on</w:t>
      </w:r>
      <w:r w:rsidR="005A1A87">
        <w:t xml:space="preserve">line through </w:t>
      </w:r>
      <w:r w:rsidR="00F04917">
        <w:t xml:space="preserve">the </w:t>
      </w:r>
      <w:r w:rsidR="005A1A87">
        <w:t xml:space="preserve">link supplied to panel members </w:t>
      </w:r>
      <w:r w:rsidR="000508FD">
        <w:t xml:space="preserve">by </w:t>
      </w:r>
      <w:r w:rsidR="005A1A87">
        <w:t>email.</w:t>
      </w:r>
    </w:p>
    <w:p w14:paraId="479BB085" w14:textId="77777777" w:rsidR="004868E5" w:rsidRDefault="004868E5" w:rsidP="004868E5">
      <w:pPr>
        <w:spacing w:line="276" w:lineRule="auto"/>
      </w:pPr>
    </w:p>
    <w:p w14:paraId="3ACFC0EC" w14:textId="77777777" w:rsidR="004868E5" w:rsidRPr="003636EE" w:rsidRDefault="004868E5" w:rsidP="004868E5">
      <w:pPr>
        <w:spacing w:line="276" w:lineRule="auto"/>
      </w:pPr>
    </w:p>
    <w:p w14:paraId="4F28F912" w14:textId="77777777" w:rsidR="00FF2CAE" w:rsidRDefault="009846EC" w:rsidP="00C132AB">
      <w:pPr>
        <w:pStyle w:val="Heading1"/>
        <w:pBdr>
          <w:bottom w:val="single" w:sz="4" w:space="1" w:color="auto"/>
        </w:pBdr>
        <w:spacing w:before="0" w:after="0"/>
        <w:ind w:left="357" w:hanging="357"/>
      </w:pPr>
      <w:bookmarkStart w:id="2" w:name="_Toc66691692"/>
      <w:r w:rsidRPr="009B3428">
        <w:t xml:space="preserve">About the </w:t>
      </w:r>
      <w:r w:rsidR="00C132AB" w:rsidRPr="00C132AB">
        <w:rPr>
          <w:highlight w:val="lightGray"/>
        </w:rPr>
        <w:t>[higher / degree]</w:t>
      </w:r>
      <w:r w:rsidR="00AB00B9">
        <w:t xml:space="preserve"> apprenticeship</w:t>
      </w:r>
      <w:bookmarkEnd w:id="2"/>
    </w:p>
    <w:p w14:paraId="71E8117C" w14:textId="77777777" w:rsidR="000508FD" w:rsidRPr="000508FD" w:rsidRDefault="000508FD" w:rsidP="0053174C">
      <w:pPr>
        <w:spacing w:line="276" w:lineRule="auto"/>
      </w:pPr>
    </w:p>
    <w:p w14:paraId="6EF3BC1A" w14:textId="77777777" w:rsidR="00B00BDA" w:rsidRDefault="00D3141C" w:rsidP="00B00BDA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E080BAB" wp14:editId="65B4499A">
                <wp:extent cx="5709920" cy="1600200"/>
                <wp:effectExtent l="0" t="0" r="24130" b="19050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62CA" w14:textId="77777777" w:rsidR="0053174C" w:rsidRPr="00B00BDA" w:rsidRDefault="0053174C" w:rsidP="004868E5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B00BDA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GUIDANCE</w:t>
                            </w:r>
                          </w:p>
                          <w:p w14:paraId="38598393" w14:textId="77777777" w:rsidR="0053174C" w:rsidRDefault="0053174C" w:rsidP="004868E5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5D196DFA" w14:textId="77777777" w:rsidR="0053174C" w:rsidRDefault="0053174C" w:rsidP="003F1D0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Background to the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development of the </w:t>
                            </w:r>
                            <w:r w:rsidR="00C132A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higher /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degree apprenticeship</w:t>
                            </w:r>
                          </w:p>
                          <w:p w14:paraId="339CFCEB" w14:textId="77777777" w:rsidR="0053174C" w:rsidRPr="004868E5" w:rsidRDefault="0053174C" w:rsidP="003F1D0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Consultation with employers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professional groups plus evidence of their support and involvement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in the design and development of the </w:t>
                            </w:r>
                            <w:r w:rsidR="00C132A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higher /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degree apprenticeship</w:t>
                            </w:r>
                          </w:p>
                          <w:p w14:paraId="289F88D5" w14:textId="77777777" w:rsidR="0053174C" w:rsidRPr="004868E5" w:rsidRDefault="0053174C" w:rsidP="000C236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Information on employers involved in the initiative</w:t>
                            </w: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and e</w:t>
                            </w: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vidence of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current and future</w:t>
                            </w:r>
                            <w:r w:rsidRPr="004868E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market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demand</w:t>
                            </w:r>
                          </w:p>
                          <w:p w14:paraId="0B511578" w14:textId="77777777" w:rsidR="0053174C" w:rsidRPr="0038337F" w:rsidRDefault="0053174C" w:rsidP="00C132A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Information on any professional recognition that students will be eligible for upon successful completion of the </w:t>
                            </w:r>
                            <w:r w:rsidR="00C132A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higher /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degree apprenticeship (including confirmation of whether this is dependent upon successful completion of an end point assessment process that is additional to the requirements for a University of Suffolk award).</w:t>
                            </w:r>
                          </w:p>
                          <w:p w14:paraId="40B15803" w14:textId="77777777" w:rsidR="0053174C" w:rsidRDefault="0053174C" w:rsidP="00B00BDA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E8A4680" w14:textId="77777777" w:rsidR="0053174C" w:rsidRPr="00B00BDA" w:rsidRDefault="0053174C" w:rsidP="009774D8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When complete,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080B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49.6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" strokecolor="red">
                <v:textbox>
                  <w:txbxContent>
                    <w:p w14:paraId="028B62CA" w14:textId="77777777" w:rsidR="0053174C" w:rsidRPr="00B00BDA" w:rsidRDefault="0053174C" w:rsidP="004868E5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</w:rPr>
                      </w:pPr>
                      <w:r w:rsidRPr="00B00BDA">
                        <w:rPr>
                          <w:b/>
                          <w:bCs/>
                          <w:color w:val="FF0000"/>
                          <w:sz w:val="18"/>
                        </w:rPr>
                        <w:t>GUIDANCE</w:t>
                      </w:r>
                    </w:p>
                    <w:p w14:paraId="38598393" w14:textId="77777777" w:rsidR="0053174C" w:rsidRDefault="0053174C" w:rsidP="004868E5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5D196DFA" w14:textId="77777777" w:rsidR="0053174C" w:rsidRDefault="0053174C" w:rsidP="003F1D0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Background to the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development of the </w:t>
                      </w:r>
                      <w:r w:rsidR="00C132A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higher /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degree apprenticeship</w:t>
                      </w:r>
                    </w:p>
                    <w:p w14:paraId="339CFCEB" w14:textId="77777777" w:rsidR="0053174C" w:rsidRPr="004868E5" w:rsidRDefault="0053174C" w:rsidP="003F1D0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Consultation with employers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professional groups plus evidence of their support and involvement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in the design and development of the </w:t>
                      </w:r>
                      <w:r w:rsidR="00C132A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higher /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degree apprenticeship</w:t>
                      </w:r>
                    </w:p>
                    <w:p w14:paraId="289F88D5" w14:textId="77777777" w:rsidR="0053174C" w:rsidRPr="004868E5" w:rsidRDefault="0053174C" w:rsidP="000C236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Information on employers involved in the initiative</w:t>
                      </w: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and e</w:t>
                      </w: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vidence of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current and future</w:t>
                      </w:r>
                      <w:r w:rsidRPr="004868E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market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demand</w:t>
                      </w:r>
                    </w:p>
                    <w:p w14:paraId="0B511578" w14:textId="77777777" w:rsidR="0053174C" w:rsidRPr="0038337F" w:rsidRDefault="0053174C" w:rsidP="00C132A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Information on any professional recognition that students will be eligible for upon successful completion of the </w:t>
                      </w:r>
                      <w:r w:rsidR="00C132A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higher /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degree apprenticeship (including confirmation of whether this is dependent upon successful completion of an end point assessment process that is additional to the requirements for a University of Suffolk award).</w:t>
                      </w:r>
                    </w:p>
                    <w:p w14:paraId="40B15803" w14:textId="77777777" w:rsidR="0053174C" w:rsidRDefault="0053174C" w:rsidP="00B00BDA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6E8A4680" w14:textId="77777777" w:rsidR="0053174C" w:rsidRPr="00B00BDA" w:rsidRDefault="0053174C" w:rsidP="009774D8">
                      <w:pPr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When complete, delete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F8D6B" w14:textId="77777777" w:rsidR="00B00BDA" w:rsidRDefault="00B00BDA" w:rsidP="0053174C">
      <w:pPr>
        <w:spacing w:line="276" w:lineRule="auto"/>
        <w:jc w:val="both"/>
        <w:rPr>
          <w:szCs w:val="22"/>
        </w:rPr>
      </w:pPr>
    </w:p>
    <w:p w14:paraId="54A11185" w14:textId="77777777" w:rsidR="006554F2" w:rsidRDefault="006554F2" w:rsidP="0053174C">
      <w:pPr>
        <w:spacing w:line="276" w:lineRule="auto"/>
        <w:jc w:val="both"/>
        <w:rPr>
          <w:szCs w:val="22"/>
        </w:rPr>
      </w:pPr>
    </w:p>
    <w:p w14:paraId="4229F861" w14:textId="77777777" w:rsidR="006554F2" w:rsidRDefault="006554F2" w:rsidP="00276F07">
      <w:pPr>
        <w:pStyle w:val="Heading1"/>
        <w:pBdr>
          <w:bottom w:val="single" w:sz="4" w:space="1" w:color="auto"/>
        </w:pBdr>
        <w:spacing w:before="0" w:after="0"/>
        <w:ind w:left="357" w:hanging="357"/>
      </w:pPr>
      <w:bookmarkStart w:id="3" w:name="_Toc66691693"/>
      <w:r>
        <w:lastRenderedPageBreak/>
        <w:t>Curriculum</w:t>
      </w:r>
      <w:r w:rsidR="0053174C">
        <w:t xml:space="preserve"> content</w:t>
      </w:r>
      <w:bookmarkEnd w:id="3"/>
    </w:p>
    <w:p w14:paraId="5F2A6BA4" w14:textId="77777777" w:rsidR="00071676" w:rsidRDefault="00071676" w:rsidP="00276F07">
      <w:pPr>
        <w:keepNext/>
        <w:spacing w:line="276" w:lineRule="auto"/>
        <w:rPr>
          <w:rFonts w:cs="Arial"/>
          <w:kern w:val="32"/>
          <w:szCs w:val="32"/>
        </w:rPr>
      </w:pPr>
    </w:p>
    <w:p w14:paraId="79705A93" w14:textId="77777777" w:rsidR="006554F2" w:rsidRDefault="006554F2" w:rsidP="006554F2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569EF4C" wp14:editId="39F97695">
                <wp:extent cx="5709920" cy="1715386"/>
                <wp:effectExtent l="0" t="0" r="24130" b="18415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71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67E2" w14:textId="77777777" w:rsidR="0053174C" w:rsidRPr="00B00BDA" w:rsidRDefault="0053174C" w:rsidP="006554F2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B00BDA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GUIDANCE</w:t>
                            </w:r>
                          </w:p>
                          <w:p w14:paraId="11A729B0" w14:textId="280F33A7" w:rsidR="0053174C" w:rsidRPr="006554F2" w:rsidRDefault="0053174C" w:rsidP="0053174C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8341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Please provide a summary of how the curriculum content of the existing validated course has been amended to meet the requirements of the relevant apprenticeship standard</w:t>
                            </w:r>
                            <w:r w:rsidR="00C83419" w:rsidRPr="00C8341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83419" w:rsidRPr="00C83419"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enabling apprentices to acquire the knowledge, skills and behaviours outlined in the standard</w:t>
                            </w:r>
                            <w:r w:rsidRPr="00C8341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7248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This should be informed by the requirements for the design and delivery of apprenticeship programmes as set out in the University’s </w:t>
                            </w:r>
                            <w:hyperlink r:id="rId12" w:history="1">
                              <w:r w:rsidR="00372481" w:rsidRPr="0037248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Higher and Degree Apprenticeship Framework</w:t>
                              </w:r>
                            </w:hyperlink>
                            <w:r w:rsidR="0037248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8341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Your commentary should demonstrate a holistic approach to on</w:t>
                            </w:r>
                            <w:r w:rsidR="001724B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C8341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off-the-job training.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Pr="006554F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mapping document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showing how the proposed course aligns with the apprenticeship standard </w:t>
                            </w:r>
                            <w:r w:rsidRPr="006554F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should be included as an Appendix. </w:t>
                            </w:r>
                          </w:p>
                          <w:p w14:paraId="54F6FD95" w14:textId="77777777" w:rsidR="0053174C" w:rsidRDefault="0053174C" w:rsidP="006554F2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26B2342" w14:textId="77777777" w:rsidR="0053174C" w:rsidRPr="006554F2" w:rsidRDefault="0053174C" w:rsidP="006554F2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554F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Please note that if any of the changes made to align with the apprenticeship standard will also apply to the existing v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alidated </w:t>
                            </w:r>
                            <w:r w:rsidRPr="006554F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course, a course modification form should be completed to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gain </w:t>
                            </w:r>
                            <w:r w:rsidRPr="006554F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approv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al of </w:t>
                            </w:r>
                            <w:r w:rsidRPr="006554F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amendments to the existing course.</w:t>
                            </w:r>
                          </w:p>
                          <w:p w14:paraId="0334648F" w14:textId="77777777" w:rsidR="0053174C" w:rsidRDefault="0053174C" w:rsidP="006554F2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C0283AA" w14:textId="77777777" w:rsidR="0053174C" w:rsidRPr="00B00BDA" w:rsidRDefault="0053174C" w:rsidP="006554F2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When complete,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9EF4C" id="_x0000_s1027" type="#_x0000_t202" style="width:449.6pt;height:1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" strokecolor="red">
                <v:textbox>
                  <w:txbxContent>
                    <w:p w14:paraId="609D67E2" w14:textId="77777777" w:rsidR="0053174C" w:rsidRPr="00B00BDA" w:rsidRDefault="0053174C" w:rsidP="006554F2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</w:rPr>
                      </w:pPr>
                      <w:r w:rsidRPr="00B00BDA">
                        <w:rPr>
                          <w:b/>
                          <w:bCs/>
                          <w:color w:val="FF0000"/>
                          <w:sz w:val="18"/>
                        </w:rPr>
                        <w:t>GUIDANCE</w:t>
                      </w:r>
                    </w:p>
                    <w:p w14:paraId="11A729B0" w14:textId="280F33A7" w:rsidR="0053174C" w:rsidRPr="006554F2" w:rsidRDefault="0053174C" w:rsidP="0053174C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C8341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Please provide a summary of how the curriculum content of the existing validated course has been amended to meet the requirements of the relevant apprenticeship standard</w:t>
                      </w:r>
                      <w:r w:rsidR="00C83419" w:rsidRPr="00C8341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r w:rsidR="00C83419" w:rsidRPr="00C83419"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  <w:t>enabling apprentices to acquire the knowledge, skills and behaviours outlined in the standard</w:t>
                      </w:r>
                      <w:r w:rsidRPr="00C8341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r w:rsidR="0037248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This should be informed by the requirements for the design and delivery of apprenticeship programmes as set out in the University’s </w:t>
                      </w:r>
                      <w:hyperlink r:id="rId13" w:history="1">
                        <w:r w:rsidR="00372481" w:rsidRPr="0037248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Higher and Degree Apprenticeship Framework</w:t>
                        </w:r>
                      </w:hyperlink>
                      <w:r w:rsidR="0037248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r w:rsidR="00C8341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Your commentary should demonstrate a holistic approach to on</w:t>
                      </w:r>
                      <w:r w:rsidR="001724B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C8341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off-the-job training.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</w:t>
                      </w:r>
                      <w:r w:rsidRPr="006554F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mapping document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showing how the proposed course aligns with the apprenticeship standard </w:t>
                      </w:r>
                      <w:r w:rsidRPr="006554F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should be included as an Appendix. </w:t>
                      </w:r>
                    </w:p>
                    <w:p w14:paraId="54F6FD95" w14:textId="77777777" w:rsidR="0053174C" w:rsidRDefault="0053174C" w:rsidP="006554F2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226B2342" w14:textId="77777777" w:rsidR="0053174C" w:rsidRPr="006554F2" w:rsidRDefault="0053174C" w:rsidP="006554F2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6554F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Please note that if any of the changes made to align with the apprenticeship standard will also apply to the existing v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alidated </w:t>
                      </w:r>
                      <w:r w:rsidRPr="006554F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course, a course modification form should be completed to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gain </w:t>
                      </w:r>
                      <w:r w:rsidRPr="006554F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approv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al of </w:t>
                      </w:r>
                      <w:r w:rsidRPr="006554F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amendments to the existing course.</w:t>
                      </w:r>
                    </w:p>
                    <w:p w14:paraId="0334648F" w14:textId="77777777" w:rsidR="0053174C" w:rsidRDefault="0053174C" w:rsidP="006554F2">
                      <w:pPr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0C0283AA" w14:textId="77777777" w:rsidR="0053174C" w:rsidRPr="00B00BDA" w:rsidRDefault="0053174C" w:rsidP="006554F2">
                      <w:pPr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When complete, delete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1CFB3" w14:textId="77777777" w:rsidR="006554F2" w:rsidRPr="003A0917" w:rsidRDefault="006554F2" w:rsidP="0053174C">
      <w:pPr>
        <w:spacing w:line="276" w:lineRule="auto"/>
        <w:jc w:val="both"/>
        <w:rPr>
          <w:szCs w:val="22"/>
        </w:rPr>
      </w:pPr>
    </w:p>
    <w:p w14:paraId="2A09E6AD" w14:textId="77777777" w:rsidR="006554F2" w:rsidRDefault="006554F2" w:rsidP="0053174C">
      <w:pPr>
        <w:spacing w:line="276" w:lineRule="auto"/>
        <w:rPr>
          <w:rFonts w:cs="Arial"/>
          <w:kern w:val="32"/>
          <w:szCs w:val="32"/>
        </w:rPr>
      </w:pPr>
    </w:p>
    <w:p w14:paraId="58E3518A" w14:textId="77777777" w:rsidR="00B34AC5" w:rsidRDefault="000C2368" w:rsidP="0053174C">
      <w:pPr>
        <w:pStyle w:val="Heading1"/>
        <w:pBdr>
          <w:bottom w:val="single" w:sz="4" w:space="1" w:color="auto"/>
        </w:pBdr>
        <w:spacing w:before="0"/>
        <w:ind w:left="357" w:hanging="357"/>
      </w:pPr>
      <w:bookmarkStart w:id="4" w:name="_Toc66691694"/>
      <w:r>
        <w:t>R</w:t>
      </w:r>
      <w:r w:rsidR="00D7689F">
        <w:t>ecruitment</w:t>
      </w:r>
      <w:r>
        <w:t>, admission and induction</w:t>
      </w:r>
      <w:bookmarkEnd w:id="4"/>
    </w:p>
    <w:p w14:paraId="23BBFB0B" w14:textId="77777777" w:rsidR="000508FD" w:rsidRPr="000508FD" w:rsidRDefault="000508FD" w:rsidP="000508FD"/>
    <w:p w14:paraId="7D9A9BA6" w14:textId="77777777" w:rsidR="00B34AC5" w:rsidRPr="00EA397D" w:rsidRDefault="00D3141C" w:rsidP="00B53EF3">
      <w:pPr>
        <w:jc w:val="both"/>
        <w:rPr>
          <w:i/>
          <w:iCs/>
          <w:color w:val="FF0000"/>
        </w:rPr>
      </w:pPr>
      <w:r>
        <w:rPr>
          <w:i/>
          <w:iCs/>
          <w:noProof/>
          <w:color w:val="FF0000"/>
          <w:lang w:eastAsia="en-GB"/>
        </w:rPr>
        <mc:AlternateContent>
          <mc:Choice Requires="wps">
            <w:drawing>
              <wp:inline distT="0" distB="0" distL="0" distR="0" wp14:anchorId="678FC841" wp14:editId="5D813BEE">
                <wp:extent cx="5773420" cy="1819835"/>
                <wp:effectExtent l="0" t="0" r="17780" b="28575"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8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1619C" w14:textId="77777777" w:rsidR="0053174C" w:rsidRDefault="0053174C" w:rsidP="00E52670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796A9ABA" w14:textId="77777777" w:rsidR="0053174C" w:rsidRDefault="0053174C" w:rsidP="00E52670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09BEBD19" w14:textId="77777777" w:rsidR="0053174C" w:rsidRDefault="0053174C" w:rsidP="00A51078">
                            <w:pPr>
                              <w:numPr>
                                <w:ilvl w:val="0"/>
                                <w:numId w:val="7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Entry criteria</w:t>
                            </w:r>
                          </w:p>
                          <w:p w14:paraId="75690E5E" w14:textId="77777777" w:rsidR="0053174C" w:rsidRDefault="0053174C" w:rsidP="000C2368">
                            <w:pPr>
                              <w:numPr>
                                <w:ilvl w:val="0"/>
                                <w:numId w:val="7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5107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Admissions process</w:t>
                            </w:r>
                          </w:p>
                          <w:p w14:paraId="28FBF68C" w14:textId="6B8E1DB9" w:rsidR="001724BB" w:rsidRDefault="001724BB" w:rsidP="000C2368">
                            <w:pPr>
                              <w:numPr>
                                <w:ilvl w:val="0"/>
                                <w:numId w:val="7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initial needs assessment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 including recognition of prior learning</w:t>
                            </w:r>
                          </w:p>
                          <w:p w14:paraId="4617263C" w14:textId="2BD51BB6" w:rsidR="00981F98" w:rsidRDefault="00981F98" w:rsidP="000C2368">
                            <w:pPr>
                              <w:numPr>
                                <w:ilvl w:val="0"/>
                                <w:numId w:val="7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ensuring that a Commitment Statement and Apprenticeship Agreement is in place for all apprentices</w:t>
                            </w:r>
                          </w:p>
                          <w:p w14:paraId="652E1972" w14:textId="1F67CCBE" w:rsidR="00C83419" w:rsidRDefault="0053174C" w:rsidP="00C83419">
                            <w:pPr>
                              <w:numPr>
                                <w:ilvl w:val="0"/>
                                <w:numId w:val="7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student and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employer induction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(including coverage of safeguarding and Prevent)</w:t>
                            </w:r>
                          </w:p>
                          <w:p w14:paraId="34931A48" w14:textId="74CE9B5E" w:rsidR="00C83419" w:rsidRPr="00C83419" w:rsidRDefault="00C83419" w:rsidP="00C83419">
                            <w:pPr>
                              <w:numPr>
                                <w:ilvl w:val="0"/>
                                <w:numId w:val="7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Arrangements for supporting apprentices to acquire Level 2 English and Maths 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prior to the gateway to end point assessment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(where not already attained on entry)</w:t>
                            </w:r>
                          </w:p>
                          <w:p w14:paraId="0A641D44" w14:textId="77777777" w:rsidR="0053174C" w:rsidRPr="00A51078" w:rsidRDefault="0053174C" w:rsidP="00A51078">
                            <w:pPr>
                              <w:ind w:left="568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DC37CC4" w14:textId="77777777" w:rsidR="0053174C" w:rsidRPr="00B53EF3" w:rsidRDefault="0053174C" w:rsidP="009774D8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When complete,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8FC841" id="Text Box 26" o:spid="_x0000_s1028" type="#_x0000_t202" style="width:454.6pt;height:1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" strokecolor="red">
                <v:textbox>
                  <w:txbxContent>
                    <w:p w14:paraId="78E1619C" w14:textId="77777777" w:rsidR="0053174C" w:rsidRDefault="0053174C" w:rsidP="00E52670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796A9ABA" w14:textId="77777777" w:rsidR="0053174C" w:rsidRDefault="0053174C" w:rsidP="00E52670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09BEBD19" w14:textId="77777777" w:rsidR="0053174C" w:rsidRDefault="0053174C" w:rsidP="00A51078">
                      <w:pPr>
                        <w:numPr>
                          <w:ilvl w:val="0"/>
                          <w:numId w:val="7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Entry criteria</w:t>
                      </w:r>
                    </w:p>
                    <w:p w14:paraId="75690E5E" w14:textId="77777777" w:rsidR="0053174C" w:rsidRDefault="0053174C" w:rsidP="000C2368">
                      <w:pPr>
                        <w:numPr>
                          <w:ilvl w:val="0"/>
                          <w:numId w:val="7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A5107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Admissions process</w:t>
                      </w:r>
                    </w:p>
                    <w:p w14:paraId="28FBF68C" w14:textId="6B8E1DB9" w:rsidR="001724BB" w:rsidRDefault="001724BB" w:rsidP="000C2368">
                      <w:pPr>
                        <w:numPr>
                          <w:ilvl w:val="0"/>
                          <w:numId w:val="7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initial needs assessment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 including recognition of prior learning</w:t>
                      </w:r>
                    </w:p>
                    <w:p w14:paraId="4617263C" w14:textId="2BD51BB6" w:rsidR="00981F98" w:rsidRDefault="00981F98" w:rsidP="000C2368">
                      <w:pPr>
                        <w:numPr>
                          <w:ilvl w:val="0"/>
                          <w:numId w:val="7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ensuring that a Commitment Statement and Apprenticeship Agreement is in place for all apprentices</w:t>
                      </w:r>
                    </w:p>
                    <w:p w14:paraId="652E1972" w14:textId="1F67CCBE" w:rsidR="00C83419" w:rsidRDefault="0053174C" w:rsidP="00C83419">
                      <w:pPr>
                        <w:numPr>
                          <w:ilvl w:val="0"/>
                          <w:numId w:val="7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student and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employer induction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(including coverage of safeguarding and Prevent)</w:t>
                      </w:r>
                    </w:p>
                    <w:p w14:paraId="34931A48" w14:textId="74CE9B5E" w:rsidR="00C83419" w:rsidRPr="00C83419" w:rsidRDefault="00C83419" w:rsidP="00C83419">
                      <w:pPr>
                        <w:numPr>
                          <w:ilvl w:val="0"/>
                          <w:numId w:val="7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Arrangements for supporting apprentices to acquire Level 2 English and Maths 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prior to the gateway to end point assessment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(where not already attained on entry)</w:t>
                      </w:r>
                    </w:p>
                    <w:p w14:paraId="0A641D44" w14:textId="77777777" w:rsidR="0053174C" w:rsidRPr="00A51078" w:rsidRDefault="0053174C" w:rsidP="00A51078">
                      <w:pPr>
                        <w:ind w:left="568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3DC37CC4" w14:textId="77777777" w:rsidR="0053174C" w:rsidRPr="00B53EF3" w:rsidRDefault="0053174C" w:rsidP="009774D8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When complete, delete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347C" w14:textId="77777777" w:rsidR="00E52670" w:rsidRDefault="00E52670" w:rsidP="0053174C">
      <w:pPr>
        <w:pStyle w:val="Heading1"/>
        <w:numPr>
          <w:ilvl w:val="0"/>
          <w:numId w:val="0"/>
        </w:numPr>
        <w:spacing w:before="0" w:after="0" w:line="276" w:lineRule="auto"/>
      </w:pPr>
    </w:p>
    <w:p w14:paraId="10684541" w14:textId="77777777" w:rsidR="00E52670" w:rsidRDefault="00E52670" w:rsidP="0053174C">
      <w:pPr>
        <w:spacing w:line="276" w:lineRule="auto"/>
      </w:pPr>
    </w:p>
    <w:p w14:paraId="0B3577AD" w14:textId="78FA0C0C" w:rsidR="00B26747" w:rsidRDefault="00F17716" w:rsidP="0053174C">
      <w:pPr>
        <w:pStyle w:val="Heading1"/>
        <w:pBdr>
          <w:bottom w:val="single" w:sz="4" w:space="1" w:color="auto"/>
        </w:pBdr>
        <w:spacing w:before="0"/>
        <w:ind w:left="357" w:hanging="357"/>
      </w:pPr>
      <w:bookmarkStart w:id="5" w:name="_Toc66691695"/>
      <w:r>
        <w:t xml:space="preserve">Apprenticeship </w:t>
      </w:r>
      <w:r w:rsidR="003F1D00">
        <w:t xml:space="preserve">delivery and </w:t>
      </w:r>
      <w:r w:rsidR="00E52670">
        <w:t>a</w:t>
      </w:r>
      <w:r w:rsidR="00B26747">
        <w:t>ssessment</w:t>
      </w:r>
      <w:bookmarkEnd w:id="5"/>
    </w:p>
    <w:p w14:paraId="1D3CF002" w14:textId="77777777" w:rsidR="00E52670" w:rsidRPr="00E52670" w:rsidRDefault="00E52670" w:rsidP="00E52670"/>
    <w:p w14:paraId="45D02D21" w14:textId="77777777" w:rsidR="00B26747" w:rsidRDefault="00B26747" w:rsidP="00B26747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F036BDF" wp14:editId="01FD8952">
                <wp:extent cx="5709920" cy="3033823"/>
                <wp:effectExtent l="0" t="0" r="24130" b="14605"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33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F44D" w14:textId="77777777" w:rsidR="0053174C" w:rsidRDefault="0053174C" w:rsidP="00E52670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536E1705" w14:textId="2D153F43" w:rsidR="0053174C" w:rsidRDefault="00372481" w:rsidP="00E52670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With reference to the University’s </w:t>
                            </w:r>
                            <w:hyperlink r:id="rId14" w:history="1">
                              <w:r w:rsidRPr="0037248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Higher and Degree Apprenticeship Framework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 i</w:t>
                            </w:r>
                            <w:r w:rsidR="0053174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nclude:</w:t>
                            </w:r>
                          </w:p>
                          <w:p w14:paraId="41760E22" w14:textId="5EDA9EC8" w:rsidR="0053174C" w:rsidRDefault="0053174C" w:rsidP="0053174C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Approach to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apprenticeship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delivery and typical timetable for students </w:t>
                            </w:r>
                          </w:p>
                          <w:p w14:paraId="5EC809E7" w14:textId="77777777" w:rsidR="00276F07" w:rsidRDefault="00276F07" w:rsidP="00276F07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Discussion of the range of learning, teaching and assessment strategies employed</w:t>
                            </w:r>
                          </w:p>
                          <w:p w14:paraId="3B30BE55" w14:textId="77777777" w:rsidR="00276F07" w:rsidRDefault="00276F07" w:rsidP="00276F07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Discussion of how the effective integration of on and off-the-job learning is ensured </w:t>
                            </w:r>
                          </w:p>
                          <w:p w14:paraId="6908F6BB" w14:textId="3EFE0801" w:rsidR="00C83419" w:rsidRDefault="00C83419" w:rsidP="0053174C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Arrangements for </w:t>
                            </w:r>
                            <w:r w:rsid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delivering, 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monitoring and evidencing that the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20% off-the-job training requirement 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has been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met</w:t>
                            </w:r>
                          </w:p>
                          <w:p w14:paraId="2C70C7D3" w14:textId="30D5E49C" w:rsidR="0053174C" w:rsidRPr="000C2368" w:rsidRDefault="0053174C" w:rsidP="005317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236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Tutorial support arrangements </w:t>
                            </w:r>
                            <w:r w:rsid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(including arrangements for workplace visits by the course team)</w:t>
                            </w:r>
                          </w:p>
                          <w:p w14:paraId="7DAEAD4F" w14:textId="58028D6E" w:rsidR="0053174C" w:rsidRDefault="0053174C" w:rsidP="0038337F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Study skills provision</w:t>
                            </w:r>
                          </w:p>
                          <w:p w14:paraId="74F8AAE5" w14:textId="67D6DBA9" w:rsidR="00276F07" w:rsidRPr="00B26747" w:rsidRDefault="00276F07" w:rsidP="0038337F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identification and support of students with disabilities and/or additional learning needs</w:t>
                            </w:r>
                          </w:p>
                          <w:p w14:paraId="19240B30" w14:textId="77777777" w:rsidR="00276F07" w:rsidRDefault="00276F07" w:rsidP="00276F07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conduct of tripartite progress reviews, including frequency of meetings, topics to be discussed and arrangements for evidencing learning</w:t>
                            </w:r>
                          </w:p>
                          <w:p w14:paraId="33B9899E" w14:textId="1FA3832D" w:rsidR="001B7711" w:rsidRDefault="001B7711" w:rsidP="003833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rrangements for mentoring in the workplace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(including mentor training and support)</w:t>
                            </w:r>
                          </w:p>
                          <w:p w14:paraId="313BB0BA" w14:textId="5B826069" w:rsidR="0053174C" w:rsidRPr="00B26747" w:rsidRDefault="0053174C" w:rsidP="003833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Personal 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evelopment 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lanning provision and support</w:t>
                            </w:r>
                            <w:r w:rsidR="00F177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 including careers advice and guidance (both as part of the course and within the University more broadly)</w:t>
                            </w:r>
                          </w:p>
                          <w:p w14:paraId="0BF480C9" w14:textId="28F1031D" w:rsidR="0053174C" w:rsidRPr="001B7711" w:rsidRDefault="0053174C" w:rsidP="000B0DC6">
                            <w:pPr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end point assessment, including involvement of any external agencies in the process</w:t>
                            </w:r>
                            <w:r w:rsidR="00C83419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arrangements to prepare apprentices for this</w:t>
                            </w:r>
                            <w:r w:rsidR="00372481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(with reference to the University’s </w:t>
                            </w:r>
                            <w:hyperlink r:id="rId15" w:history="1"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Apprenticeship End Point Assessment Procedure</w:t>
                              </w:r>
                            </w:hyperlink>
                            <w:r w:rsidR="00372481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1B7711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72481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For integrated end point assessment, please discuss how you will ensure that independent, objective assessments are made (with </w:t>
                            </w:r>
                            <w:r w:rsidR="00372481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reference to the University’s </w:t>
                            </w:r>
                            <w:hyperlink r:id="rId16" w:history="1"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onflict of </w:t>
                              </w:r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nterest </w:t>
                              </w:r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372481" w:rsidRPr="001B77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olicy for End Point Assessment</w:t>
                              </w:r>
                            </w:hyperlink>
                            <w:r w:rsidR="00372481" w:rsidRPr="001B7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DFD6920" w14:textId="77777777" w:rsidR="0053174C" w:rsidRDefault="0053174C" w:rsidP="00B26747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DB6BCC1" w14:textId="77777777" w:rsidR="0053174C" w:rsidRPr="00B53EF3" w:rsidRDefault="0053174C" w:rsidP="00B2674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When complete,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36BDF" id="Text Box 29" o:spid="_x0000_s1029" type="#_x0000_t202" style="width:449.6pt;height:2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" strokecolor="red">
                <v:textbox>
                  <w:txbxContent>
                    <w:p w14:paraId="7C89F44D" w14:textId="77777777" w:rsidR="0053174C" w:rsidRDefault="0053174C" w:rsidP="00E52670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536E1705" w14:textId="2D153F43" w:rsidR="0053174C" w:rsidRDefault="00372481" w:rsidP="00E52670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With reference to the University’s </w:t>
                      </w:r>
                      <w:hyperlink r:id="rId17" w:history="1">
                        <w:r w:rsidRPr="0037248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Higher and Degree Apprenticeship Framework</w:t>
                        </w:r>
                      </w:hyperlink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 i</w:t>
                      </w:r>
                      <w:r w:rsidR="0053174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nclude:</w:t>
                      </w:r>
                    </w:p>
                    <w:p w14:paraId="41760E22" w14:textId="5EDA9EC8" w:rsidR="0053174C" w:rsidRDefault="0053174C" w:rsidP="0053174C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Approach to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apprenticeship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delivery and typical timetable for students </w:t>
                      </w:r>
                    </w:p>
                    <w:p w14:paraId="5EC809E7" w14:textId="77777777" w:rsidR="00276F07" w:rsidRDefault="00276F07" w:rsidP="00276F07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Discussion of the range of learning, teaching and assessment strategies employed</w:t>
                      </w:r>
                    </w:p>
                    <w:p w14:paraId="3B30BE55" w14:textId="77777777" w:rsidR="00276F07" w:rsidRDefault="00276F07" w:rsidP="00276F07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Discussion of how the effective integration of on and off-the-job learning is ensured </w:t>
                      </w:r>
                    </w:p>
                    <w:p w14:paraId="6908F6BB" w14:textId="3EFE0801" w:rsidR="00C83419" w:rsidRDefault="00C83419" w:rsidP="0053174C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Arrangements for </w:t>
                      </w:r>
                      <w:r w:rsid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delivering, 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monitoring and evidencing that the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20% off-the-job training requirement 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has been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met</w:t>
                      </w:r>
                    </w:p>
                    <w:p w14:paraId="2C70C7D3" w14:textId="30D5E49C" w:rsidR="0053174C" w:rsidRPr="000C2368" w:rsidRDefault="0053174C" w:rsidP="005317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0C236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Tutorial support arrangements </w:t>
                      </w:r>
                      <w:r w:rsid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(including arrangements for workplace visits by the course team)</w:t>
                      </w:r>
                    </w:p>
                    <w:p w14:paraId="7DAEAD4F" w14:textId="58028D6E" w:rsidR="0053174C" w:rsidRDefault="0053174C" w:rsidP="0038337F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Study skills provision</w:t>
                      </w:r>
                    </w:p>
                    <w:p w14:paraId="74F8AAE5" w14:textId="67D6DBA9" w:rsidR="00276F07" w:rsidRPr="00B26747" w:rsidRDefault="00276F07" w:rsidP="0038337F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identification and support of students with disabilities and/or additional learning needs</w:t>
                      </w:r>
                    </w:p>
                    <w:p w14:paraId="19240B30" w14:textId="77777777" w:rsidR="00276F07" w:rsidRDefault="00276F07" w:rsidP="00276F07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conduct of tripartite progress reviews, including frequency of meetings, topics to be discussed and arrangements for evidencing learning</w:t>
                      </w:r>
                    </w:p>
                    <w:p w14:paraId="33B9899E" w14:textId="1FA3832D" w:rsidR="001B7711" w:rsidRDefault="001B7711" w:rsidP="003833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rrangements for mentoring in the workplace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(including mentor training and support)</w:t>
                      </w:r>
                    </w:p>
                    <w:p w14:paraId="313BB0BA" w14:textId="5B826069" w:rsidR="0053174C" w:rsidRPr="00B26747" w:rsidRDefault="0053174C" w:rsidP="003833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Personal 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evelopment 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lanning provision and support</w:t>
                      </w:r>
                      <w:r w:rsidR="00F177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 including careers advice and guidance (both as part of the course and within the University more broadly)</w:t>
                      </w:r>
                    </w:p>
                    <w:p w14:paraId="0BF480C9" w14:textId="28F1031D" w:rsidR="0053174C" w:rsidRPr="001B7711" w:rsidRDefault="0053174C" w:rsidP="000B0DC6">
                      <w:pPr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end point assessment, including involvement of any external agencies in the process</w:t>
                      </w:r>
                      <w:r w:rsidR="00C83419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arrangements to prepare apprentices for this</w:t>
                      </w:r>
                      <w:r w:rsidR="00372481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(with reference to the University’s </w:t>
                      </w:r>
                      <w:hyperlink r:id="rId18" w:history="1"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Apprenticeship End Point Assessment Procedure</w:t>
                        </w:r>
                      </w:hyperlink>
                      <w:r w:rsidR="00372481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1B7711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r w:rsidR="00372481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For integrated end point assessment, please discuss how you will ensure that independent, objective assessments are made (with </w:t>
                      </w:r>
                      <w:r w:rsidR="00372481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reference to the University’s </w:t>
                      </w:r>
                      <w:hyperlink r:id="rId19" w:history="1"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C</w:t>
                        </w:r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 xml:space="preserve">onflict of </w:t>
                        </w:r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</w:t>
                        </w:r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 xml:space="preserve">nterest </w:t>
                        </w:r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P</w:t>
                        </w:r>
                        <w:r w:rsidR="00372481" w:rsidRPr="001B77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olicy for End Point Assessment</w:t>
                        </w:r>
                      </w:hyperlink>
                      <w:r w:rsidR="00372481" w:rsidRPr="001B7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14:paraId="3DFD6920" w14:textId="77777777" w:rsidR="0053174C" w:rsidRDefault="0053174C" w:rsidP="00B26747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3DB6BCC1" w14:textId="77777777" w:rsidR="0053174C" w:rsidRPr="00B53EF3" w:rsidRDefault="0053174C" w:rsidP="00B26747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When complete, delete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40092" w14:textId="77777777" w:rsidR="00E52670" w:rsidRDefault="006554F2" w:rsidP="0053174C">
      <w:pPr>
        <w:pStyle w:val="Heading1"/>
        <w:numPr>
          <w:ilvl w:val="0"/>
          <w:numId w:val="0"/>
        </w:numPr>
        <w:tabs>
          <w:tab w:val="left" w:pos="1035"/>
        </w:tabs>
        <w:spacing w:before="0" w:after="0" w:line="276" w:lineRule="auto"/>
      </w:pPr>
      <w:r>
        <w:tab/>
      </w:r>
    </w:p>
    <w:p w14:paraId="7F9AEABA" w14:textId="77777777" w:rsidR="0053174C" w:rsidRPr="00FA734B" w:rsidRDefault="0053174C" w:rsidP="0053174C">
      <w:pPr>
        <w:spacing w:line="276" w:lineRule="auto"/>
      </w:pPr>
    </w:p>
    <w:p w14:paraId="752BDC13" w14:textId="77777777" w:rsidR="00403FDC" w:rsidRPr="00050BC0" w:rsidRDefault="00403FDC" w:rsidP="0053174C">
      <w:pPr>
        <w:pStyle w:val="Heading1"/>
        <w:pBdr>
          <w:bottom w:val="single" w:sz="4" w:space="1" w:color="auto"/>
        </w:pBdr>
        <w:spacing w:before="0" w:after="0"/>
        <w:ind w:left="357" w:hanging="357"/>
      </w:pPr>
      <w:bookmarkStart w:id="6" w:name="_Toc66691696"/>
      <w:r w:rsidRPr="00050BC0">
        <w:lastRenderedPageBreak/>
        <w:t>Resources</w:t>
      </w:r>
      <w:r w:rsidR="003F1D00">
        <w:t xml:space="preserve"> and staffing</w:t>
      </w:r>
      <w:bookmarkEnd w:id="6"/>
    </w:p>
    <w:p w14:paraId="2EA6C482" w14:textId="77777777" w:rsidR="00FA734B" w:rsidRDefault="00FA734B" w:rsidP="0053174C">
      <w:pPr>
        <w:pStyle w:val="Heading2"/>
        <w:spacing w:before="0" w:after="0" w:line="276" w:lineRule="auto"/>
        <w:jc w:val="both"/>
      </w:pPr>
    </w:p>
    <w:p w14:paraId="4ECD6F97" w14:textId="77777777" w:rsidR="00A46E8C" w:rsidRDefault="00D3141C" w:rsidP="009D5664">
      <w:pPr>
        <w:jc w:val="both"/>
        <w:rPr>
          <w:i/>
          <w:iCs/>
          <w:color w:val="FF0000"/>
        </w:rPr>
      </w:pPr>
      <w:r>
        <w:rPr>
          <w:i/>
          <w:iCs/>
          <w:noProof/>
          <w:color w:val="FF0000"/>
          <w:lang w:eastAsia="en-GB"/>
        </w:rPr>
        <mc:AlternateContent>
          <mc:Choice Requires="wps">
            <w:drawing>
              <wp:inline distT="0" distB="0" distL="0" distR="0" wp14:anchorId="32A947C3" wp14:editId="2A1C904E">
                <wp:extent cx="5773420" cy="1566530"/>
                <wp:effectExtent l="0" t="0" r="17780" b="15240"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56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ABFE" w14:textId="77777777" w:rsidR="0053174C" w:rsidRDefault="0053174C" w:rsidP="00FA734B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GUIDANCE</w:t>
                            </w:r>
                          </w:p>
                          <w:p w14:paraId="1D49031F" w14:textId="77777777" w:rsidR="0053174C" w:rsidRDefault="0053174C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Include:</w:t>
                            </w:r>
                          </w:p>
                          <w:p w14:paraId="1509798E" w14:textId="77777777" w:rsidR="0053174C" w:rsidRDefault="0053174C" w:rsidP="000C2368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Information on any additional resources needed to support the </w:t>
                            </w:r>
                            <w:r w:rsidR="00C132AB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higher /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degree apprenticeship, beyond those required for the delivery of the existing course upon which the </w:t>
                            </w:r>
                            <w:r w:rsidR="00C132AB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higher /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degree apprenticeship is based</w:t>
                            </w:r>
                          </w:p>
                          <w:p w14:paraId="27890664" w14:textId="15DBA8C5" w:rsidR="0053174C" w:rsidRDefault="0053174C" w:rsidP="000C2368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Details of any new staff who will be contributing to the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apprenticeship programme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, in addition to those already involved in delivery of the existing course (please include all staff CVs as an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ppendix)</w:t>
                            </w:r>
                          </w:p>
                          <w:p w14:paraId="175C04BA" w14:textId="0FD2C32D" w:rsidR="00981F98" w:rsidRDefault="00981F98" w:rsidP="000C2368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Discussion of any training and development needs for staff in relation to apprenticeship programme delivery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(including ensuring staff are familiar with </w:t>
                            </w:r>
                            <w:proofErr w:type="spellStart"/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ESFA</w:t>
                            </w:r>
                            <w:proofErr w:type="spellEnd"/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funding rules and the latest Ofsted inspection framework) </w:t>
                            </w:r>
                          </w:p>
                          <w:p w14:paraId="4EC700F2" w14:textId="77777777" w:rsidR="0053174C" w:rsidRDefault="0053174C" w:rsidP="009774D8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</w:pPr>
                          </w:p>
                          <w:p w14:paraId="437C1CDB" w14:textId="77777777" w:rsidR="0053174C" w:rsidRPr="009D5664" w:rsidRDefault="0053174C" w:rsidP="009774D8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  <w:t>When complete,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947C3" id="Text Box 47" o:spid="_x0000_s1030" type="#_x0000_t202" style="width:454.6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" strokecolor="red">
                <v:textbox>
                  <w:txbxContent>
                    <w:p w14:paraId="56EEABFE" w14:textId="77777777" w:rsidR="0053174C" w:rsidRDefault="0053174C" w:rsidP="00FA734B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22"/>
                        </w:rPr>
                        <w:t>GUIDANCE</w:t>
                      </w:r>
                    </w:p>
                    <w:p w14:paraId="1D49031F" w14:textId="77777777" w:rsidR="0053174C" w:rsidRDefault="0053174C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Include:</w:t>
                      </w:r>
                    </w:p>
                    <w:p w14:paraId="1509798E" w14:textId="77777777" w:rsidR="0053174C" w:rsidRDefault="0053174C" w:rsidP="000C2368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Information on any additional resources needed to support the </w:t>
                      </w:r>
                      <w:r w:rsidR="00C132AB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higher /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degree apprenticeship, beyond those required for the delivery of the existing course upon which the </w:t>
                      </w:r>
                      <w:r w:rsidR="00C132AB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higher /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degree apprenticeship is based</w:t>
                      </w:r>
                    </w:p>
                    <w:p w14:paraId="27890664" w14:textId="15DBA8C5" w:rsidR="0053174C" w:rsidRDefault="0053174C" w:rsidP="000C2368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Details of any new staff who will be contributing to the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apprenticeship programme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, in addition to those already involved in delivery of the existing course (please include all staff CVs as an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a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ppendix)</w:t>
                      </w:r>
                    </w:p>
                    <w:p w14:paraId="175C04BA" w14:textId="0FD2C32D" w:rsidR="00981F98" w:rsidRDefault="00981F98" w:rsidP="000C2368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Discussion of any training and development needs for staff in relation to apprenticeship programme delivery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(including ensuring staff are familiar with </w:t>
                      </w:r>
                      <w:proofErr w:type="spellStart"/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ESFA</w:t>
                      </w:r>
                      <w:proofErr w:type="spellEnd"/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funding rules and the latest Ofsted inspection framework) </w:t>
                      </w:r>
                    </w:p>
                    <w:p w14:paraId="4EC700F2" w14:textId="77777777" w:rsidR="0053174C" w:rsidRDefault="0053174C" w:rsidP="009774D8">
                      <w:pP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</w:pPr>
                    </w:p>
                    <w:p w14:paraId="437C1CDB" w14:textId="77777777" w:rsidR="0053174C" w:rsidRPr="009D5664" w:rsidRDefault="0053174C" w:rsidP="009774D8">
                      <w:pP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  <w:t>When complete, delete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BC857" w14:textId="77777777" w:rsidR="00050BC0" w:rsidRDefault="00050BC0" w:rsidP="00FA734B">
      <w:pPr>
        <w:spacing w:line="276" w:lineRule="auto"/>
        <w:jc w:val="both"/>
        <w:rPr>
          <w:szCs w:val="22"/>
        </w:rPr>
      </w:pPr>
    </w:p>
    <w:p w14:paraId="40F16FB9" w14:textId="77777777" w:rsidR="00FA734B" w:rsidRPr="00050BC0" w:rsidRDefault="00FA734B" w:rsidP="00FA734B">
      <w:pPr>
        <w:spacing w:line="276" w:lineRule="auto"/>
        <w:jc w:val="both"/>
        <w:rPr>
          <w:szCs w:val="22"/>
        </w:rPr>
      </w:pPr>
    </w:p>
    <w:p w14:paraId="0957D5F1" w14:textId="152A8905" w:rsidR="00E23784" w:rsidRDefault="00276F07" w:rsidP="0053174C">
      <w:pPr>
        <w:pStyle w:val="Heading1"/>
        <w:pBdr>
          <w:bottom w:val="single" w:sz="4" w:space="1" w:color="auto"/>
        </w:pBdr>
        <w:spacing w:before="0"/>
        <w:ind w:left="357" w:hanging="357"/>
      </w:pPr>
      <w:bookmarkStart w:id="7" w:name="_Toc66691697"/>
      <w:r>
        <w:t xml:space="preserve">Apprenticeship programme </w:t>
      </w:r>
      <w:r w:rsidR="006F17D4">
        <w:t>management</w:t>
      </w:r>
      <w:bookmarkEnd w:id="7"/>
    </w:p>
    <w:p w14:paraId="09B727D7" w14:textId="77777777" w:rsidR="000508FD" w:rsidRPr="000508FD" w:rsidRDefault="000508FD" w:rsidP="000508FD"/>
    <w:p w14:paraId="528019CD" w14:textId="77777777" w:rsidR="00E23784" w:rsidRDefault="00E23784" w:rsidP="00E23784">
      <w:pPr>
        <w:jc w:val="both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EE9B665" wp14:editId="3C748E16">
                <wp:extent cx="5773420" cy="1715386"/>
                <wp:effectExtent l="0" t="0" r="17780" b="18415"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71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8D3B" w14:textId="77777777" w:rsidR="0053174C" w:rsidRDefault="0053174C" w:rsidP="00FA734B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3620DE49" w14:textId="77777777" w:rsidR="0053174C" w:rsidRDefault="0053174C" w:rsidP="00E2378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732BB2C3" w14:textId="2A604868" w:rsidR="00981F98" w:rsidRPr="00276F07" w:rsidRDefault="00276F07" w:rsidP="0019616C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="00981F98" w:rsidRP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hannels of communication between the University and the employer to facilitate effective programme delivery</w:t>
                            </w:r>
                          </w:p>
                          <w:p w14:paraId="25FC65CC" w14:textId="57110C1B" w:rsidR="0053174C" w:rsidRPr="00276F07" w:rsidRDefault="0053174C" w:rsidP="0019616C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gaining feedback from students and employers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including plans for engagement with the </w:t>
                            </w:r>
                            <w:proofErr w:type="spellStart"/>
                            <w:r w:rsidR="00276F07" w:rsidRP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ESFA</w:t>
                            </w:r>
                            <w:proofErr w:type="spellEnd"/>
                            <w:r w:rsidR="00276F07" w:rsidRP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Learner Satisfaction Survey and Employer Satisfaction Survey</w:t>
                            </w:r>
                          </w:p>
                          <w:p w14:paraId="5ED9FD54" w14:textId="5C569C72" w:rsidR="0053174C" w:rsidRDefault="0053174C" w:rsidP="006F17D4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Arrangements for employer involvement in course committees and RiME processes</w:t>
                            </w:r>
                          </w:p>
                          <w:p w14:paraId="01BCB3E9" w14:textId="7D736506" w:rsidR="001B7711" w:rsidRDefault="001B7711" w:rsidP="006F17D4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Arrangements for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production of the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annual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elf-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ssessment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Report (SAR)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uality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mprovement 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lan</w:t>
                            </w:r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QIP</w:t>
                            </w:r>
                            <w:proofErr w:type="spellEnd"/>
                            <w:r w:rsidR="00276F0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),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with reference to the latest Ofsted inspection framework</w:t>
                            </w:r>
                          </w:p>
                          <w:p w14:paraId="6C4FFD58" w14:textId="5B037244" w:rsidR="001B7711" w:rsidRDefault="001B7711" w:rsidP="006F17D4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Arrangements for ensuring that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ESFA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F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funding rules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are met</w:t>
                            </w:r>
                          </w:p>
                          <w:p w14:paraId="6BD85E86" w14:textId="77777777" w:rsidR="0053174C" w:rsidRDefault="0053174C" w:rsidP="00E2378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6AF20CE" w14:textId="77777777" w:rsidR="0053174C" w:rsidRPr="00050BC0" w:rsidRDefault="0053174C" w:rsidP="00E23784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When complete,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9B665" id="Text Box 60" o:spid="_x0000_s1031" type="#_x0000_t202" style="width:454.6pt;height:1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" strokecolor="red">
                <v:textbox>
                  <w:txbxContent>
                    <w:p w14:paraId="2AF28D3B" w14:textId="77777777" w:rsidR="0053174C" w:rsidRDefault="0053174C" w:rsidP="00FA734B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3620DE49" w14:textId="77777777" w:rsidR="0053174C" w:rsidRDefault="0053174C" w:rsidP="00E2378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732BB2C3" w14:textId="2A604868" w:rsidR="00981F98" w:rsidRPr="00276F07" w:rsidRDefault="00276F07" w:rsidP="0019616C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</w:t>
                      </w:r>
                      <w:r w:rsidR="00981F98" w:rsidRP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hannels of communication between the University and the employer to facilitate effective programme delivery</w:t>
                      </w:r>
                    </w:p>
                    <w:p w14:paraId="25FC65CC" w14:textId="57110C1B" w:rsidR="0053174C" w:rsidRPr="00276F07" w:rsidRDefault="0053174C" w:rsidP="0019616C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gaining feedback from students and employers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including plans for engagement with the </w:t>
                      </w:r>
                      <w:proofErr w:type="spellStart"/>
                      <w:r w:rsidR="00276F07" w:rsidRP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ESFA</w:t>
                      </w:r>
                      <w:proofErr w:type="spellEnd"/>
                      <w:r w:rsidR="00276F07" w:rsidRP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Learner Satisfaction Survey and Employer Satisfaction Survey</w:t>
                      </w:r>
                    </w:p>
                    <w:p w14:paraId="5ED9FD54" w14:textId="5C569C72" w:rsidR="0053174C" w:rsidRDefault="0053174C" w:rsidP="006F17D4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Arrangements for employer involvement in course committees and RiME processes</w:t>
                      </w:r>
                    </w:p>
                    <w:p w14:paraId="01BCB3E9" w14:textId="7D736506" w:rsidR="001B7711" w:rsidRDefault="001B7711" w:rsidP="006F17D4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Arrangements for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production of the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annual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elf-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ssessment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Report (SAR)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and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uality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mprovement 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lan</w:t>
                      </w:r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QIP</w:t>
                      </w:r>
                      <w:proofErr w:type="spellEnd"/>
                      <w:r w:rsidR="00276F0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),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with reference to the latest Ofsted inspection framework</w:t>
                      </w:r>
                    </w:p>
                    <w:p w14:paraId="6C4FFD58" w14:textId="5B037244" w:rsidR="001B7711" w:rsidRDefault="001B7711" w:rsidP="006F17D4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Arrangements for ensuring that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ESFA</w:t>
                      </w:r>
                      <w:proofErr w:type="spellEnd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81F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funding rules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are met</w:t>
                      </w:r>
                    </w:p>
                    <w:p w14:paraId="6BD85E86" w14:textId="77777777" w:rsidR="0053174C" w:rsidRDefault="0053174C" w:rsidP="00E2378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66AF20CE" w14:textId="77777777" w:rsidR="0053174C" w:rsidRPr="00050BC0" w:rsidRDefault="0053174C" w:rsidP="00E23784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When complete, delete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A6EDA" w14:textId="77777777" w:rsidR="00E23784" w:rsidRDefault="00E23784" w:rsidP="00FA734B">
      <w:pPr>
        <w:spacing w:line="276" w:lineRule="auto"/>
        <w:jc w:val="both"/>
        <w:rPr>
          <w:szCs w:val="22"/>
        </w:rPr>
      </w:pPr>
    </w:p>
    <w:p w14:paraId="44CB903D" w14:textId="77777777" w:rsidR="00FA734B" w:rsidRPr="00050BC0" w:rsidRDefault="00FA734B" w:rsidP="00FA734B">
      <w:pPr>
        <w:spacing w:line="276" w:lineRule="auto"/>
        <w:jc w:val="both"/>
        <w:rPr>
          <w:szCs w:val="22"/>
        </w:rPr>
      </w:pPr>
    </w:p>
    <w:sectPr w:rsidR="00FA734B" w:rsidRPr="00050BC0" w:rsidSect="00BC530D">
      <w:footerReference w:type="even" r:id="rId20"/>
      <w:footerReference w:type="defaul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6BECD" w14:textId="77777777" w:rsidR="00391280" w:rsidRDefault="00391280">
      <w:r>
        <w:separator/>
      </w:r>
    </w:p>
  </w:endnote>
  <w:endnote w:type="continuationSeparator" w:id="0">
    <w:p w14:paraId="03479EFF" w14:textId="77777777" w:rsidR="00391280" w:rsidRDefault="003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A423" w14:textId="77777777" w:rsidR="0053174C" w:rsidRDefault="0053174C" w:rsidP="00E947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ADB338" w14:textId="77777777" w:rsidR="0053174C" w:rsidRDefault="0053174C" w:rsidP="00B34A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502C" w14:textId="5C046A5B" w:rsidR="00EB05F6" w:rsidRDefault="00EB05F6" w:rsidP="00EB05F6">
    <w:pPr>
      <w:pStyle w:val="Footer"/>
      <w:tabs>
        <w:tab w:val="right" w:pos="924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Proposal for converting an existing course into an apprenticeship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9F7F82">
      <w:rPr>
        <w:rFonts w:cs="Arial"/>
        <w:sz w:val="16"/>
        <w:szCs w:val="16"/>
      </w:rPr>
      <w:fldChar w:fldCharType="begin"/>
    </w:r>
    <w:r w:rsidRPr="009F7F82">
      <w:rPr>
        <w:rFonts w:cs="Arial"/>
        <w:sz w:val="16"/>
        <w:szCs w:val="16"/>
      </w:rPr>
      <w:instrText xml:space="preserve"> PAGE   \* MERGEFORMAT </w:instrText>
    </w:r>
    <w:r w:rsidRPr="009F7F82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11</w:t>
    </w:r>
    <w:r w:rsidRPr="009F7F82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br/>
      <w:t>Version 2.0 (</w:t>
    </w:r>
    <w:r>
      <w:rPr>
        <w:rFonts w:cs="Arial"/>
        <w:sz w:val="16"/>
        <w:szCs w:val="16"/>
      </w:rPr>
      <w:t xml:space="preserve">March </w:t>
    </w:r>
    <w:r>
      <w:rPr>
        <w:rFonts w:cs="Arial"/>
        <w:sz w:val="16"/>
        <w:szCs w:val="16"/>
      </w:rPr>
      <w:t>2021)</w:t>
    </w:r>
  </w:p>
  <w:p w14:paraId="0702AEA4" w14:textId="1AE7F71F" w:rsidR="0053174C" w:rsidRPr="00EB05F6" w:rsidRDefault="00EB05F6" w:rsidP="00EB05F6">
    <w:pPr>
      <w:pStyle w:val="Footer"/>
    </w:pPr>
    <w:r>
      <w:rPr>
        <w:rFonts w:cs="Arial"/>
        <w:sz w:val="16"/>
        <w:szCs w:val="16"/>
      </w:rPr>
      <w:t xml:space="preserve">Owner: </w:t>
    </w:r>
    <w:r>
      <w:rPr>
        <w:rFonts w:cs="Arial"/>
        <w:sz w:val="16"/>
        <w:szCs w:val="16"/>
      </w:rPr>
      <w:t xml:space="preserve">Quality and Partnerships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EF72" w14:textId="77777777" w:rsidR="00391280" w:rsidRDefault="00391280">
      <w:r>
        <w:separator/>
      </w:r>
    </w:p>
  </w:footnote>
  <w:footnote w:type="continuationSeparator" w:id="0">
    <w:p w14:paraId="79C56AC3" w14:textId="77777777" w:rsidR="00391280" w:rsidRDefault="0039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BDB"/>
    <w:multiLevelType w:val="hybridMultilevel"/>
    <w:tmpl w:val="9F3E7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3BA"/>
    <w:multiLevelType w:val="hybridMultilevel"/>
    <w:tmpl w:val="0DC23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620"/>
    <w:multiLevelType w:val="hybridMultilevel"/>
    <w:tmpl w:val="C3B8E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0EF"/>
    <w:multiLevelType w:val="hybridMultilevel"/>
    <w:tmpl w:val="ED5C9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703"/>
    <w:multiLevelType w:val="hybridMultilevel"/>
    <w:tmpl w:val="9620C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31AF3"/>
    <w:multiLevelType w:val="hybridMultilevel"/>
    <w:tmpl w:val="024A4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0C54"/>
    <w:multiLevelType w:val="hybridMultilevel"/>
    <w:tmpl w:val="61160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6D94"/>
    <w:multiLevelType w:val="hybridMultilevel"/>
    <w:tmpl w:val="0AE8B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3C94"/>
    <w:multiLevelType w:val="hybridMultilevel"/>
    <w:tmpl w:val="5E206E20"/>
    <w:lvl w:ilvl="0" w:tplc="1BE0CE8A">
      <w:start w:val="1"/>
      <w:numFmt w:val="decimal"/>
      <w:lvlText w:val="A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3AA9"/>
    <w:multiLevelType w:val="hybridMultilevel"/>
    <w:tmpl w:val="29C0FE1E"/>
    <w:lvl w:ilvl="0" w:tplc="0C0EF05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5BD0"/>
    <w:multiLevelType w:val="hybridMultilevel"/>
    <w:tmpl w:val="EDE2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F040F"/>
    <w:multiLevelType w:val="hybridMultilevel"/>
    <w:tmpl w:val="AA9A7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055E"/>
    <w:multiLevelType w:val="hybridMultilevel"/>
    <w:tmpl w:val="38661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00DBB"/>
    <w:multiLevelType w:val="hybridMultilevel"/>
    <w:tmpl w:val="F64A1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0C95"/>
    <w:multiLevelType w:val="hybridMultilevel"/>
    <w:tmpl w:val="D7520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53BBD"/>
    <w:multiLevelType w:val="hybridMultilevel"/>
    <w:tmpl w:val="227C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73EEC"/>
    <w:multiLevelType w:val="hybridMultilevel"/>
    <w:tmpl w:val="61F21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0783A"/>
    <w:multiLevelType w:val="hybridMultilevel"/>
    <w:tmpl w:val="3BEC1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E31E7"/>
    <w:multiLevelType w:val="hybridMultilevel"/>
    <w:tmpl w:val="5B4A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3C69"/>
    <w:multiLevelType w:val="hybridMultilevel"/>
    <w:tmpl w:val="755235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15624"/>
    <w:multiLevelType w:val="hybridMultilevel"/>
    <w:tmpl w:val="E9D65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2201"/>
    <w:multiLevelType w:val="hybridMultilevel"/>
    <w:tmpl w:val="7C462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DFB"/>
    <w:multiLevelType w:val="hybridMultilevel"/>
    <w:tmpl w:val="5CDE1D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22"/>
  </w:num>
  <w:num w:numId="10">
    <w:abstractNumId w:val="12"/>
  </w:num>
  <w:num w:numId="11">
    <w:abstractNumId w:val="14"/>
  </w:num>
  <w:num w:numId="12">
    <w:abstractNumId w:val="20"/>
  </w:num>
  <w:num w:numId="13">
    <w:abstractNumId w:val="19"/>
  </w:num>
  <w:num w:numId="14">
    <w:abstractNumId w:val="1"/>
  </w:num>
  <w:num w:numId="15">
    <w:abstractNumId w:val="17"/>
  </w:num>
  <w:num w:numId="16">
    <w:abstractNumId w:val="3"/>
  </w:num>
  <w:num w:numId="17">
    <w:abstractNumId w:val="8"/>
  </w:num>
  <w:num w:numId="18">
    <w:abstractNumId w:val="9"/>
  </w:num>
  <w:num w:numId="19">
    <w:abstractNumId w:val="18"/>
  </w:num>
  <w:num w:numId="20">
    <w:abstractNumId w:val="4"/>
  </w:num>
  <w:num w:numId="21">
    <w:abstractNumId w:val="9"/>
    <w:lvlOverride w:ilvl="0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</w:num>
  <w:num w:numId="24">
    <w:abstractNumId w:val="9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10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E0"/>
    <w:rsid w:val="00032C38"/>
    <w:rsid w:val="000508FD"/>
    <w:rsid w:val="00050BC0"/>
    <w:rsid w:val="00071676"/>
    <w:rsid w:val="000917C2"/>
    <w:rsid w:val="000928CB"/>
    <w:rsid w:val="000C2368"/>
    <w:rsid w:val="000E45C3"/>
    <w:rsid w:val="000F759B"/>
    <w:rsid w:val="001507C3"/>
    <w:rsid w:val="00154431"/>
    <w:rsid w:val="00166FDC"/>
    <w:rsid w:val="001724BB"/>
    <w:rsid w:val="00173618"/>
    <w:rsid w:val="001858CD"/>
    <w:rsid w:val="0019616C"/>
    <w:rsid w:val="001A19C7"/>
    <w:rsid w:val="001B7711"/>
    <w:rsid w:val="001C6EA9"/>
    <w:rsid w:val="001D3012"/>
    <w:rsid w:val="001F17C6"/>
    <w:rsid w:val="001F1C09"/>
    <w:rsid w:val="001F3B9A"/>
    <w:rsid w:val="00204524"/>
    <w:rsid w:val="00216236"/>
    <w:rsid w:val="002343F1"/>
    <w:rsid w:val="00250375"/>
    <w:rsid w:val="0025259D"/>
    <w:rsid w:val="0027222B"/>
    <w:rsid w:val="00274B5A"/>
    <w:rsid w:val="00276F07"/>
    <w:rsid w:val="002D4D09"/>
    <w:rsid w:val="002E542D"/>
    <w:rsid w:val="002F0544"/>
    <w:rsid w:val="00314C96"/>
    <w:rsid w:val="003446FC"/>
    <w:rsid w:val="00345413"/>
    <w:rsid w:val="003526CE"/>
    <w:rsid w:val="003636EE"/>
    <w:rsid w:val="00372481"/>
    <w:rsid w:val="003749C7"/>
    <w:rsid w:val="00380D5D"/>
    <w:rsid w:val="0038337F"/>
    <w:rsid w:val="00391280"/>
    <w:rsid w:val="0039247E"/>
    <w:rsid w:val="00396DC3"/>
    <w:rsid w:val="00397115"/>
    <w:rsid w:val="003A0917"/>
    <w:rsid w:val="003A7FC9"/>
    <w:rsid w:val="003F1D00"/>
    <w:rsid w:val="00403FDC"/>
    <w:rsid w:val="004204A9"/>
    <w:rsid w:val="00443F27"/>
    <w:rsid w:val="00456481"/>
    <w:rsid w:val="00466D1B"/>
    <w:rsid w:val="00482FAC"/>
    <w:rsid w:val="004868E5"/>
    <w:rsid w:val="004D466C"/>
    <w:rsid w:val="004F6AD5"/>
    <w:rsid w:val="0053174C"/>
    <w:rsid w:val="00537859"/>
    <w:rsid w:val="005522F3"/>
    <w:rsid w:val="00553ED1"/>
    <w:rsid w:val="0056569D"/>
    <w:rsid w:val="00574D29"/>
    <w:rsid w:val="00583DCD"/>
    <w:rsid w:val="005950A4"/>
    <w:rsid w:val="005A1A87"/>
    <w:rsid w:val="005F7F7A"/>
    <w:rsid w:val="00617EC5"/>
    <w:rsid w:val="0062385C"/>
    <w:rsid w:val="00642C5B"/>
    <w:rsid w:val="006554F2"/>
    <w:rsid w:val="006626F7"/>
    <w:rsid w:val="0068060D"/>
    <w:rsid w:val="006B2D4D"/>
    <w:rsid w:val="006B6CA7"/>
    <w:rsid w:val="006C108E"/>
    <w:rsid w:val="006F17D4"/>
    <w:rsid w:val="007018F2"/>
    <w:rsid w:val="00712C5D"/>
    <w:rsid w:val="007161AB"/>
    <w:rsid w:val="00780D20"/>
    <w:rsid w:val="007838D5"/>
    <w:rsid w:val="007B10EE"/>
    <w:rsid w:val="007D0243"/>
    <w:rsid w:val="007F1929"/>
    <w:rsid w:val="008021CC"/>
    <w:rsid w:val="00874740"/>
    <w:rsid w:val="008A71CC"/>
    <w:rsid w:val="008B5CE0"/>
    <w:rsid w:val="008F04DD"/>
    <w:rsid w:val="00921131"/>
    <w:rsid w:val="00921AD1"/>
    <w:rsid w:val="00940164"/>
    <w:rsid w:val="009774D8"/>
    <w:rsid w:val="00981F98"/>
    <w:rsid w:val="0098380A"/>
    <w:rsid w:val="009846EC"/>
    <w:rsid w:val="00996673"/>
    <w:rsid w:val="009B3428"/>
    <w:rsid w:val="009B412F"/>
    <w:rsid w:val="009D403A"/>
    <w:rsid w:val="009D564B"/>
    <w:rsid w:val="009D5664"/>
    <w:rsid w:val="009E2D78"/>
    <w:rsid w:val="009E6797"/>
    <w:rsid w:val="009F4E09"/>
    <w:rsid w:val="00A22FC7"/>
    <w:rsid w:val="00A46E8C"/>
    <w:rsid w:val="00A51078"/>
    <w:rsid w:val="00A56CA4"/>
    <w:rsid w:val="00A61ADE"/>
    <w:rsid w:val="00A9703B"/>
    <w:rsid w:val="00AB00B9"/>
    <w:rsid w:val="00AE0C1A"/>
    <w:rsid w:val="00AF25C9"/>
    <w:rsid w:val="00B00BDA"/>
    <w:rsid w:val="00B0646C"/>
    <w:rsid w:val="00B1313E"/>
    <w:rsid w:val="00B26747"/>
    <w:rsid w:val="00B34AC5"/>
    <w:rsid w:val="00B53EF3"/>
    <w:rsid w:val="00B57A57"/>
    <w:rsid w:val="00BC530D"/>
    <w:rsid w:val="00BD2383"/>
    <w:rsid w:val="00C132AB"/>
    <w:rsid w:val="00C2791B"/>
    <w:rsid w:val="00C41B6D"/>
    <w:rsid w:val="00C44C55"/>
    <w:rsid w:val="00C83419"/>
    <w:rsid w:val="00C917FC"/>
    <w:rsid w:val="00CA4591"/>
    <w:rsid w:val="00CC589E"/>
    <w:rsid w:val="00CC67D5"/>
    <w:rsid w:val="00CC7DC7"/>
    <w:rsid w:val="00CF0F00"/>
    <w:rsid w:val="00CF1D50"/>
    <w:rsid w:val="00CF5A30"/>
    <w:rsid w:val="00D002E3"/>
    <w:rsid w:val="00D012A3"/>
    <w:rsid w:val="00D3141C"/>
    <w:rsid w:val="00D7689F"/>
    <w:rsid w:val="00DC2A0A"/>
    <w:rsid w:val="00E1328B"/>
    <w:rsid w:val="00E2341A"/>
    <w:rsid w:val="00E23784"/>
    <w:rsid w:val="00E41C70"/>
    <w:rsid w:val="00E52670"/>
    <w:rsid w:val="00E86596"/>
    <w:rsid w:val="00E9471F"/>
    <w:rsid w:val="00EA23C0"/>
    <w:rsid w:val="00EA397D"/>
    <w:rsid w:val="00EB05F6"/>
    <w:rsid w:val="00EE48AD"/>
    <w:rsid w:val="00EE5809"/>
    <w:rsid w:val="00EF3B67"/>
    <w:rsid w:val="00F02919"/>
    <w:rsid w:val="00F04917"/>
    <w:rsid w:val="00F137CE"/>
    <w:rsid w:val="00F17716"/>
    <w:rsid w:val="00F432B9"/>
    <w:rsid w:val="00F616E0"/>
    <w:rsid w:val="00F76677"/>
    <w:rsid w:val="00FA3FC5"/>
    <w:rsid w:val="00FA734B"/>
    <w:rsid w:val="00FA7BEB"/>
    <w:rsid w:val="00FB6549"/>
    <w:rsid w:val="00FF2CAE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58050"/>
  <w15:docId w15:val="{673F5A32-E522-482E-A2D3-24F901E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8F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397115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FD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48A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3174C"/>
    <w:pPr>
      <w:tabs>
        <w:tab w:val="left" w:pos="426"/>
        <w:tab w:val="right" w:leader="dot" w:pos="9060"/>
      </w:tabs>
      <w:spacing w:after="240"/>
    </w:pPr>
  </w:style>
  <w:style w:type="paragraph" w:styleId="Footer">
    <w:name w:val="footer"/>
    <w:basedOn w:val="Normal"/>
    <w:link w:val="FooterChar"/>
    <w:uiPriority w:val="99"/>
    <w:rsid w:val="00B34A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4AC5"/>
  </w:style>
  <w:style w:type="paragraph" w:styleId="TOC2">
    <w:name w:val="toc 2"/>
    <w:basedOn w:val="Normal"/>
    <w:next w:val="Normal"/>
    <w:autoRedefine/>
    <w:uiPriority w:val="39"/>
    <w:rsid w:val="00397115"/>
    <w:pPr>
      <w:tabs>
        <w:tab w:val="right" w:leader="dot" w:pos="9060"/>
      </w:tabs>
      <w:ind w:left="567"/>
      <w:jc w:val="both"/>
    </w:pPr>
  </w:style>
  <w:style w:type="paragraph" w:styleId="BalloonText">
    <w:name w:val="Balloon Text"/>
    <w:basedOn w:val="Normal"/>
    <w:semiHidden/>
    <w:rsid w:val="00F432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1313E"/>
    <w:rPr>
      <w:rFonts w:ascii="Arial" w:eastAsia="SimSun" w:hAnsi="Arial" w:cs="Arial"/>
      <w:b/>
      <w:bCs/>
      <w:iCs/>
      <w:sz w:val="22"/>
      <w:szCs w:val="28"/>
      <w:lang w:val="en-GB" w:eastAsia="zh-CN" w:bidi="ar-SA"/>
    </w:rPr>
  </w:style>
  <w:style w:type="character" w:styleId="CommentReference">
    <w:name w:val="annotation reference"/>
    <w:semiHidden/>
    <w:rsid w:val="00380D5D"/>
    <w:rPr>
      <w:sz w:val="16"/>
      <w:szCs w:val="16"/>
    </w:rPr>
  </w:style>
  <w:style w:type="paragraph" w:styleId="CommentText">
    <w:name w:val="annotation text"/>
    <w:basedOn w:val="Normal"/>
    <w:semiHidden/>
    <w:rsid w:val="00380D5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80D5D"/>
    <w:rPr>
      <w:b/>
      <w:bCs/>
    </w:rPr>
  </w:style>
  <w:style w:type="table" w:styleId="TableGrid">
    <w:name w:val="Table Grid"/>
    <w:basedOn w:val="TableNormal"/>
    <w:rsid w:val="004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3B6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636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248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EB05F6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05F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os.ac.uk/sites/default/files/apprenticeships-framework.pdf" TargetMode="External"/><Relationship Id="rId18" Type="http://schemas.openxmlformats.org/officeDocument/2006/relationships/hyperlink" Target="https://www.uos.ac.uk/sites/default/files/apprenticeship-end-point-assessment-procedur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uos.ac.uk/sites/default/files/apprenticeships-framework.pdf" TargetMode="External"/><Relationship Id="rId17" Type="http://schemas.openxmlformats.org/officeDocument/2006/relationships/hyperlink" Target="https://www.uos.ac.uk/sites/default/files/apprenticeships-framewor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os.ac.uk/sites/www.uos.ac.uk/files/epa-conflicts-of-interest-policy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udenthandbook.uos.ac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os.ac.uk/sites/default/files/apprenticeship-end-point-assessment-procedur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os.ac.uk/sites/default/files/apprenticeships-framework.pdf" TargetMode="External"/><Relationship Id="rId19" Type="http://schemas.openxmlformats.org/officeDocument/2006/relationships/hyperlink" Target="https://www.uos.ac.uk/sites/www.uos.ac.uk/files/epa-conflicts-of-interest-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os.ac.uk/sites/default/files/apprenticeships-framewor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0B139FF931744A1755F6C5473DCE8" ma:contentTypeVersion="14" ma:contentTypeDescription="Create a new document." ma:contentTypeScope="" ma:versionID="3d5e0b74a8093d5110929685591ac519">
  <xsd:schema xmlns:xsd="http://www.w3.org/2001/XMLSchema" xmlns:xs="http://www.w3.org/2001/XMLSchema" xmlns:p="http://schemas.microsoft.com/office/2006/metadata/properties" xmlns:ns1="http://schemas.microsoft.com/sharepoint/v3" xmlns:ns2="c1058b7e-eba4-46da-ac0e-502a72c14541" xmlns:ns3="48b48510-9e2e-439c-bdd3-a1767e4da0e7" targetNamespace="http://schemas.microsoft.com/office/2006/metadata/properties" ma:root="true" ma:fieldsID="7796cd721bc1afe9aef6122314665102" ns1:_="" ns2:_="" ns3:_="">
    <xsd:import namespace="http://schemas.microsoft.com/sharepoint/v3"/>
    <xsd:import namespace="c1058b7e-eba4-46da-ac0e-502a72c14541"/>
    <xsd:import namespace="48b48510-9e2e-439c-bdd3-a1767e4da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58b7e-eba4-46da-ac0e-502a72c14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8510-9e2e-439c-bdd3-a1767e4da0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AB98C-0796-4367-A699-4B17865CCC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4FDC17-E819-4A28-BE88-8B71FE0A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6C9D-3FC0-47F2-A929-C911B9DB5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58b7e-eba4-46da-ac0e-502a72c14541"/>
    <ds:schemaRef ds:uri="48b48510-9e2e-439c-bdd3-a1767e4da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Campus Suffolk</vt:lpstr>
    </vt:vector>
  </TitlesOfParts>
  <Company>Suffolk College</Company>
  <LinksUpToDate>false</LinksUpToDate>
  <CharactersWithSpaces>3708</CharactersWithSpaces>
  <SharedDoc>false</SharedDoc>
  <HLinks>
    <vt:vector size="132" baseType="variant"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_Toc366590383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_Toc366590382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_Toc366590381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_Toc366590380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_Toc366590379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_Toc366590378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_Toc366590377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_Toc366590376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_Toc366590375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_Toc366590374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_Toc366590373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_Toc366590372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_Toc366590371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_Toc366590370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_Toc366590369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_Toc366590368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_Toc366590367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_Toc366590366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_Toc366590365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_Toc366590364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_Toc366590363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_Toc366590362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Campus Suffolk</dc:title>
  <dc:creator>alisonmcquin</dc:creator>
  <cp:lastModifiedBy>Kay Thompson</cp:lastModifiedBy>
  <cp:revision>5</cp:revision>
  <cp:lastPrinted>2017-03-16T11:09:00Z</cp:lastPrinted>
  <dcterms:created xsi:type="dcterms:W3CDTF">2021-03-15T08:21:00Z</dcterms:created>
  <dcterms:modified xsi:type="dcterms:W3CDTF">2021-03-15T09:08:00Z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0x010100BFD0B139FF931744A1755F6C5473DCE8</vt:lpwstr>
  </property>
</Properties>
</file>